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91FF92" w14:textId="77777777" w:rsidR="00EA4471" w:rsidRDefault="00EA4471" w:rsidP="00EA4471">
      <w:pPr>
        <w:pStyle w:val="BodyTextIndent3"/>
        <w:spacing w:before="240" w:line="240" w:lineRule="auto"/>
        <w:ind w:left="0" w:right="-331"/>
        <w:jc w:val="center"/>
        <w:rPr>
          <w:b/>
          <w:bCs/>
          <w:color w:val="000000"/>
        </w:rPr>
      </w:pPr>
      <w:r>
        <w:rPr>
          <w:b/>
          <w:bCs/>
          <w:color w:val="000000"/>
        </w:rPr>
        <w:t>PETROLEUM AND NATURAL GAS REGULATORY BOARD</w:t>
      </w:r>
    </w:p>
    <w:p w14:paraId="200670FD" w14:textId="77777777" w:rsidR="00EA4471" w:rsidRDefault="00EA4471" w:rsidP="00EA4471">
      <w:pPr>
        <w:pStyle w:val="BodyTextIndent3"/>
        <w:spacing w:before="240" w:line="240" w:lineRule="auto"/>
        <w:ind w:left="0" w:right="-331"/>
        <w:jc w:val="center"/>
        <w:rPr>
          <w:b/>
          <w:color w:val="000000"/>
        </w:rPr>
      </w:pPr>
      <w:r>
        <w:rPr>
          <w:b/>
          <w:color w:val="000000"/>
        </w:rPr>
        <w:t>NOTIFICATION</w:t>
      </w:r>
    </w:p>
    <w:p w14:paraId="32295195" w14:textId="77777777" w:rsidR="00EA4471" w:rsidRDefault="00EA4471" w:rsidP="00EA4471">
      <w:pPr>
        <w:pStyle w:val="BodyTextIndent3"/>
        <w:spacing w:before="240" w:line="240" w:lineRule="auto"/>
        <w:ind w:left="0" w:right="-331"/>
        <w:jc w:val="center"/>
        <w:rPr>
          <w:bCs/>
          <w:color w:val="000000"/>
        </w:rPr>
      </w:pPr>
      <w:r>
        <w:rPr>
          <w:bCs/>
          <w:color w:val="000000"/>
        </w:rPr>
        <w:t>New Delhi, the 7</w:t>
      </w:r>
      <w:r>
        <w:rPr>
          <w:bCs/>
          <w:color w:val="000000"/>
          <w:vertAlign w:val="superscript"/>
        </w:rPr>
        <w:t>th</w:t>
      </w:r>
      <w:r>
        <w:rPr>
          <w:bCs/>
          <w:color w:val="000000"/>
        </w:rPr>
        <w:t xml:space="preserve"> June, 2010</w:t>
      </w:r>
    </w:p>
    <w:p w14:paraId="762B9964" w14:textId="77777777" w:rsidR="00EA4471" w:rsidRDefault="00EA4471" w:rsidP="00EA4471">
      <w:pPr>
        <w:pStyle w:val="BodyTextIndent3"/>
        <w:spacing w:line="240" w:lineRule="auto"/>
        <w:ind w:left="0"/>
        <w:rPr>
          <w:bCs/>
          <w:color w:val="000000"/>
        </w:rPr>
      </w:pPr>
    </w:p>
    <w:p w14:paraId="01A8907C" w14:textId="553812BD" w:rsidR="00EA4471" w:rsidRDefault="00EA4471" w:rsidP="00EA4471">
      <w:pPr>
        <w:pStyle w:val="BodyTextIndent3"/>
        <w:spacing w:line="240" w:lineRule="auto"/>
        <w:ind w:left="0" w:firstLine="720"/>
        <w:rPr>
          <w:bCs/>
          <w:color w:val="000000"/>
        </w:rPr>
      </w:pPr>
      <w:r>
        <w:rPr>
          <w:b/>
          <w:color w:val="000000"/>
        </w:rPr>
        <w:t>G.S.R. 476(E</w:t>
      </w:r>
      <w:proofErr w:type="gramStart"/>
      <w:r>
        <w:rPr>
          <w:b/>
          <w:color w:val="000000"/>
        </w:rPr>
        <w:t>).---</w:t>
      </w:r>
      <w:proofErr w:type="gramEnd"/>
      <w:r>
        <w:rPr>
          <w:bCs/>
          <w:color w:val="000000"/>
        </w:rPr>
        <w:t xml:space="preserve">In exercise of the powers conferred by </w:t>
      </w:r>
      <w:r w:rsidR="00FD5698">
        <w:rPr>
          <w:bCs/>
          <w:color w:val="000000"/>
        </w:rPr>
        <w:t xml:space="preserve">Section </w:t>
      </w:r>
      <w:r>
        <w:rPr>
          <w:bCs/>
          <w:color w:val="000000"/>
        </w:rPr>
        <w:t>61 of the Petroleum and Natural Gas Regulatory Act, 2006 (19 of 2006), the Petroleum and Natural Gas Regulatory Board hereby makes the following regulations, namely:-</w:t>
      </w:r>
    </w:p>
    <w:p w14:paraId="3ABBA1F7" w14:textId="77777777" w:rsidR="00EA4471" w:rsidRDefault="00EA4471" w:rsidP="00EA4471">
      <w:pPr>
        <w:pStyle w:val="BodyTextIndent3"/>
        <w:spacing w:line="240" w:lineRule="auto"/>
        <w:rPr>
          <w:bCs/>
          <w:color w:val="000000"/>
        </w:rPr>
      </w:pPr>
    </w:p>
    <w:p w14:paraId="4B414E0F" w14:textId="77777777" w:rsidR="00EA4471" w:rsidRDefault="00EA4471" w:rsidP="00EA4471">
      <w:pPr>
        <w:pStyle w:val="BodyTextIndent3"/>
        <w:numPr>
          <w:ilvl w:val="0"/>
          <w:numId w:val="1"/>
        </w:numPr>
        <w:spacing w:line="240" w:lineRule="auto"/>
        <w:rPr>
          <w:bCs/>
          <w:color w:val="000000"/>
        </w:rPr>
      </w:pPr>
      <w:r>
        <w:rPr>
          <w:b/>
          <w:bCs/>
          <w:color w:val="000000"/>
        </w:rPr>
        <w:t>Short title and commencement.</w:t>
      </w:r>
    </w:p>
    <w:p w14:paraId="235C65C6" w14:textId="77777777" w:rsidR="00EA4471" w:rsidRDefault="00EA4471" w:rsidP="00EA4471">
      <w:pPr>
        <w:pStyle w:val="BodyTextIndent3"/>
        <w:spacing w:line="240" w:lineRule="auto"/>
        <w:ind w:left="0"/>
        <w:rPr>
          <w:bCs/>
          <w:color w:val="000000"/>
        </w:rPr>
      </w:pPr>
    </w:p>
    <w:p w14:paraId="2AB92BFB" w14:textId="53DE67CC" w:rsidR="00EA4471" w:rsidRDefault="00EA4471" w:rsidP="00EA4471">
      <w:pPr>
        <w:pStyle w:val="BodyTextIndent3"/>
        <w:numPr>
          <w:ilvl w:val="0"/>
          <w:numId w:val="2"/>
        </w:numPr>
        <w:spacing w:line="240" w:lineRule="auto"/>
        <w:ind w:left="993" w:hanging="426"/>
        <w:rPr>
          <w:bCs/>
          <w:color w:val="000000"/>
        </w:rPr>
      </w:pPr>
      <w:r>
        <w:rPr>
          <w:bCs/>
          <w:color w:val="000000"/>
        </w:rPr>
        <w:t xml:space="preserve">These regulations may be called the Petroleum and Natural Gas Regulatory Board (Determining </w:t>
      </w:r>
      <w:r w:rsidR="00FD5698">
        <w:rPr>
          <w:bCs/>
          <w:color w:val="000000"/>
        </w:rPr>
        <w:t xml:space="preserve">Capacity </w:t>
      </w:r>
      <w:r>
        <w:rPr>
          <w:bCs/>
          <w:color w:val="000000"/>
        </w:rPr>
        <w:t>of Petroleum, Petroleum Products and Natural Gas Pipeline) Regulations, 2010.</w:t>
      </w:r>
    </w:p>
    <w:p w14:paraId="1CD907DD" w14:textId="77777777" w:rsidR="00EA4471" w:rsidRDefault="00EA4471" w:rsidP="00EA4471">
      <w:pPr>
        <w:pStyle w:val="BodyTextIndent3"/>
        <w:spacing w:line="240" w:lineRule="auto"/>
        <w:ind w:left="993" w:hanging="426"/>
        <w:rPr>
          <w:bCs/>
          <w:color w:val="000000"/>
        </w:rPr>
      </w:pPr>
    </w:p>
    <w:p w14:paraId="4D0F6E4B" w14:textId="77777777" w:rsidR="00EA4471" w:rsidRDefault="00EA4471" w:rsidP="00EA4471">
      <w:pPr>
        <w:pStyle w:val="BodyTextIndent3"/>
        <w:numPr>
          <w:ilvl w:val="0"/>
          <w:numId w:val="2"/>
        </w:numPr>
        <w:spacing w:line="240" w:lineRule="auto"/>
        <w:ind w:left="993" w:hanging="426"/>
        <w:rPr>
          <w:bCs/>
          <w:color w:val="000000"/>
        </w:rPr>
      </w:pPr>
      <w:r>
        <w:rPr>
          <w:bCs/>
          <w:color w:val="000000"/>
        </w:rPr>
        <w:t>They shall come into force on the date of their publication in the Official Gazette.</w:t>
      </w:r>
    </w:p>
    <w:p w14:paraId="6407183F" w14:textId="77777777" w:rsidR="00EA4471" w:rsidRDefault="00EA4471" w:rsidP="00EA4471">
      <w:pPr>
        <w:pStyle w:val="BodyTextIndent3"/>
        <w:spacing w:line="240" w:lineRule="auto"/>
        <w:ind w:left="360" w:firstLine="0"/>
        <w:rPr>
          <w:bCs/>
          <w:color w:val="000000"/>
        </w:rPr>
      </w:pPr>
    </w:p>
    <w:p w14:paraId="7F3A2364" w14:textId="77777777" w:rsidR="00EA4471" w:rsidRDefault="00EA4471" w:rsidP="00EA4471">
      <w:pPr>
        <w:pStyle w:val="BodyTextIndent3"/>
        <w:numPr>
          <w:ilvl w:val="0"/>
          <w:numId w:val="3"/>
        </w:numPr>
        <w:spacing w:line="240" w:lineRule="auto"/>
        <w:ind w:left="709"/>
        <w:rPr>
          <w:b/>
          <w:bCs/>
          <w:color w:val="000000"/>
        </w:rPr>
      </w:pPr>
      <w:r>
        <w:rPr>
          <w:b/>
          <w:bCs/>
          <w:color w:val="000000"/>
        </w:rPr>
        <w:t>Definitions.</w:t>
      </w:r>
    </w:p>
    <w:p w14:paraId="746CB2DA" w14:textId="77777777" w:rsidR="00EA4471" w:rsidRDefault="00EA4471" w:rsidP="00EA4471">
      <w:pPr>
        <w:pStyle w:val="BodyTextIndent3"/>
        <w:numPr>
          <w:ilvl w:val="0"/>
          <w:numId w:val="4"/>
        </w:numPr>
        <w:spacing w:before="240" w:line="240" w:lineRule="auto"/>
        <w:ind w:left="993" w:hanging="426"/>
        <w:rPr>
          <w:bCs/>
          <w:color w:val="000000"/>
        </w:rPr>
      </w:pPr>
      <w:r>
        <w:rPr>
          <w:bCs/>
          <w:color w:val="000000"/>
        </w:rPr>
        <w:t xml:space="preserve">In these regulations, unless the context otherwise </w:t>
      </w:r>
      <w:proofErr w:type="gramStart"/>
      <w:r>
        <w:rPr>
          <w:bCs/>
          <w:color w:val="000000"/>
        </w:rPr>
        <w:t>requires,-</w:t>
      </w:r>
      <w:proofErr w:type="gramEnd"/>
    </w:p>
    <w:p w14:paraId="09165B65" w14:textId="77777777" w:rsidR="00EA4471" w:rsidRDefault="00EA4471" w:rsidP="00EA4471">
      <w:pPr>
        <w:pStyle w:val="BodyTextIndent3"/>
        <w:numPr>
          <w:ilvl w:val="2"/>
          <w:numId w:val="5"/>
        </w:numPr>
        <w:spacing w:before="240" w:line="240" w:lineRule="auto"/>
        <w:ind w:left="1276" w:hanging="425"/>
        <w:rPr>
          <w:color w:val="000000"/>
        </w:rPr>
      </w:pPr>
      <w:r>
        <w:rPr>
          <w:color w:val="000000"/>
        </w:rPr>
        <w:t xml:space="preserve">“Act” means the </w:t>
      </w:r>
      <w:r>
        <w:rPr>
          <w:bCs/>
          <w:color w:val="000000"/>
        </w:rPr>
        <w:t>Petroleum and Natural Gas Regulatory Board Act, 2006;</w:t>
      </w:r>
    </w:p>
    <w:p w14:paraId="39BCF175" w14:textId="77777777" w:rsidR="00EA4471" w:rsidRDefault="00EA4471" w:rsidP="00EA4471">
      <w:pPr>
        <w:pStyle w:val="BodyTextIndent3"/>
        <w:numPr>
          <w:ilvl w:val="2"/>
          <w:numId w:val="5"/>
        </w:numPr>
        <w:spacing w:before="240" w:line="240" w:lineRule="auto"/>
        <w:ind w:left="1276" w:hanging="425"/>
        <w:rPr>
          <w:color w:val="000000"/>
        </w:rPr>
      </w:pPr>
      <w:r>
        <w:rPr>
          <w:bCs/>
          <w:color w:val="000000"/>
        </w:rPr>
        <w:t>“a</w:t>
      </w:r>
      <w:r>
        <w:rPr>
          <w:color w:val="000000"/>
        </w:rPr>
        <w:t>ppointed day” means the date of October 1, 2007 when the Central Government notified the establishment of the Petroleum and Natural Gas Regulatory Board;</w:t>
      </w:r>
    </w:p>
    <w:p w14:paraId="2087DF16" w14:textId="77777777" w:rsidR="00EA4471" w:rsidRDefault="00EA4471" w:rsidP="00EA4471">
      <w:pPr>
        <w:pStyle w:val="BodyTextIndent3"/>
        <w:numPr>
          <w:ilvl w:val="2"/>
          <w:numId w:val="5"/>
        </w:numPr>
        <w:spacing w:before="240" w:line="240" w:lineRule="auto"/>
        <w:ind w:left="1276" w:hanging="425"/>
        <w:rPr>
          <w:color w:val="000000"/>
        </w:rPr>
      </w:pPr>
      <w:r>
        <w:rPr>
          <w:color w:val="000000"/>
        </w:rPr>
        <w:t>“Board” means the Petroleum and Natural Gas Regulatory Board established under sub-section (1) of section 3 of the Act;</w:t>
      </w:r>
    </w:p>
    <w:p w14:paraId="178610B5" w14:textId="77777777" w:rsidR="00EA4471" w:rsidRDefault="00EA4471" w:rsidP="00EA4471">
      <w:pPr>
        <w:pStyle w:val="BodyTextIndent3"/>
        <w:numPr>
          <w:ilvl w:val="2"/>
          <w:numId w:val="5"/>
        </w:numPr>
        <w:spacing w:before="240" w:line="240" w:lineRule="auto"/>
        <w:ind w:left="1276" w:hanging="425"/>
        <w:rPr>
          <w:color w:val="000000"/>
        </w:rPr>
      </w:pPr>
      <w:r>
        <w:rPr>
          <w:color w:val="000000"/>
        </w:rPr>
        <w:t>“capacity assessment group” means a group comprising representatives of two transporters other than the entity of which the pipeline system capacity is to be certified and a representative of the Board, as decided by the Board on case to case basis or any agency or entity or authorized person or any approved third party authorized by the Board for determining the capacity of the petroleum, petroleum products and natural gas pipeline;</w:t>
      </w:r>
    </w:p>
    <w:p w14:paraId="0D3BAEB2" w14:textId="77777777" w:rsidR="00EA4471" w:rsidRDefault="00EA4471" w:rsidP="00EA4471">
      <w:pPr>
        <w:pStyle w:val="BodyTextIndent3"/>
        <w:numPr>
          <w:ilvl w:val="2"/>
          <w:numId w:val="5"/>
        </w:numPr>
        <w:spacing w:before="240" w:line="240" w:lineRule="auto"/>
        <w:ind w:left="1276" w:hanging="425"/>
        <w:rPr>
          <w:color w:val="000000"/>
        </w:rPr>
      </w:pPr>
      <w:r>
        <w:rPr>
          <w:color w:val="000000"/>
        </w:rPr>
        <w:t>“critical customer” means a customer whose withdrawal conditions in the pipeline system could affect the capacity of the pipeline;</w:t>
      </w:r>
    </w:p>
    <w:p w14:paraId="45A9AC52" w14:textId="77777777" w:rsidR="00EA4471" w:rsidRDefault="00EA4471" w:rsidP="00EA4471">
      <w:pPr>
        <w:pStyle w:val="BodyTextIndent3"/>
        <w:numPr>
          <w:ilvl w:val="2"/>
          <w:numId w:val="5"/>
        </w:numPr>
        <w:spacing w:before="240" w:line="240" w:lineRule="auto"/>
        <w:ind w:left="1276" w:hanging="425"/>
        <w:rPr>
          <w:color w:val="000000"/>
        </w:rPr>
      </w:pPr>
      <w:r>
        <w:rPr>
          <w:color w:val="000000"/>
        </w:rPr>
        <w:t xml:space="preserve">“extension of pipeline” means increase in length of pipelines in either direction for transportation of natural gas from an existing transmission or trunk pipeline or sub-transmission pipeline or spur line to another geographical location without increase in authorized capacity of the pipeline; </w:t>
      </w:r>
    </w:p>
    <w:p w14:paraId="19448E79" w14:textId="77777777" w:rsidR="00EA4471" w:rsidRDefault="00EA4471" w:rsidP="00EA4471">
      <w:pPr>
        <w:pStyle w:val="BodyTextIndent3"/>
        <w:numPr>
          <w:ilvl w:val="2"/>
          <w:numId w:val="5"/>
        </w:numPr>
        <w:spacing w:before="240" w:line="240" w:lineRule="auto"/>
        <w:ind w:left="1276" w:hanging="425"/>
        <w:rPr>
          <w:color w:val="000000"/>
        </w:rPr>
      </w:pPr>
      <w:r>
        <w:rPr>
          <w:color w:val="000000"/>
        </w:rPr>
        <w:t xml:space="preserve">“expansion of pipeline” means increase in the capacity of existing pipeline beyond its previously authorized capacity due to installation of additional facilities such as compression facilities, addition of compressor stations or loop lines or extension to new sources of gas to tap additional volumes etc. Expansion of pipeline may also include extension of the existing pipeline in either direction </w:t>
      </w:r>
      <w:r>
        <w:rPr>
          <w:color w:val="000000"/>
        </w:rPr>
        <w:lastRenderedPageBreak/>
        <w:t>as long as it increases the capacity of the pipeline and in that case it may be treated as expansion of the pipeline not extension;</w:t>
      </w:r>
    </w:p>
    <w:p w14:paraId="761A72C6" w14:textId="77777777" w:rsidR="00EA4471" w:rsidRDefault="00EA4471" w:rsidP="00EA4471">
      <w:pPr>
        <w:pStyle w:val="BodyTextIndent3"/>
        <w:numPr>
          <w:ilvl w:val="2"/>
          <w:numId w:val="5"/>
        </w:numPr>
        <w:spacing w:before="240" w:line="240" w:lineRule="auto"/>
        <w:ind w:left="1276" w:hanging="425"/>
        <w:rPr>
          <w:color w:val="000000"/>
        </w:rPr>
      </w:pPr>
      <w:r>
        <w:rPr>
          <w:color w:val="000000"/>
        </w:rPr>
        <w:t>“marginally higher pressure” means an entry point pressure at any intermediate location in the pipeline system which is higher than the system pressure at that location so that flow from new source can commence without disturbing existing upstream conditions in the pipeline system;</w:t>
      </w:r>
    </w:p>
    <w:p w14:paraId="6FB20652" w14:textId="77777777" w:rsidR="00EA4471" w:rsidRDefault="00EA4471" w:rsidP="00EA4471">
      <w:pPr>
        <w:pStyle w:val="BodyTextIndent3"/>
        <w:numPr>
          <w:ilvl w:val="2"/>
          <w:numId w:val="5"/>
        </w:numPr>
        <w:spacing w:before="240" w:line="240" w:lineRule="auto"/>
        <w:ind w:left="1276" w:hanging="425"/>
        <w:rPr>
          <w:color w:val="000000"/>
        </w:rPr>
      </w:pPr>
      <w:r>
        <w:rPr>
          <w:color w:val="000000"/>
        </w:rPr>
        <w:t>“Natural Gas Pipeline” means the pipeline as defined under the Petroleum and Natural Gas Regulatory Board (Authorizing Entities to Lay, Build, Operate or Expand Natural Gas Pipelines) Regulations, 2008;</w:t>
      </w:r>
    </w:p>
    <w:p w14:paraId="1BA96350" w14:textId="77777777" w:rsidR="00EA4471" w:rsidRDefault="00EA4471" w:rsidP="00EA4471">
      <w:pPr>
        <w:pStyle w:val="BodyTextIndent3"/>
        <w:numPr>
          <w:ilvl w:val="2"/>
          <w:numId w:val="5"/>
        </w:numPr>
        <w:spacing w:before="240" w:line="240" w:lineRule="auto"/>
        <w:ind w:left="1276" w:hanging="425"/>
        <w:rPr>
          <w:color w:val="000000"/>
        </w:rPr>
      </w:pPr>
      <w:r>
        <w:rPr>
          <w:color w:val="000000"/>
        </w:rPr>
        <w:t>“petroleum, petroleum products pipeline” means any pipeline including a branch or spur line for transport of petroleum, petroleum products and includes all  connected infrastructure such as pumps, metering units, storage facilities at originating, delivery, tap off points, terminal station and the like connected to the common carriers or contract carriers including line balancing tanks and tankage required for unabsorbed interface essential  for operating a pipeline system but excluding pipelines:</w:t>
      </w:r>
    </w:p>
    <w:p w14:paraId="4C53C0B7" w14:textId="77777777" w:rsidR="00EA4471" w:rsidRDefault="00EA4471" w:rsidP="00EA4471">
      <w:pPr>
        <w:pStyle w:val="BodyTextIndent3"/>
        <w:spacing w:before="240" w:line="240" w:lineRule="auto"/>
        <w:ind w:left="1276" w:firstLine="0"/>
        <w:rPr>
          <w:color w:val="000000"/>
        </w:rPr>
      </w:pPr>
      <w:r>
        <w:rPr>
          <w:color w:val="000000"/>
        </w:rPr>
        <w:t>which are dedicated for supply of petroleum products to a specific consumer which are not for resale;</w:t>
      </w:r>
    </w:p>
    <w:p w14:paraId="4414FF5A" w14:textId="77777777" w:rsidR="00EA4471" w:rsidRDefault="00EA4471" w:rsidP="00EA4471">
      <w:pPr>
        <w:pStyle w:val="BodyTextIndent3"/>
        <w:spacing w:before="240" w:line="240" w:lineRule="auto"/>
        <w:ind w:left="1276" w:firstLine="0"/>
        <w:rPr>
          <w:color w:val="000000"/>
        </w:rPr>
      </w:pPr>
      <w:r>
        <w:rPr>
          <w:color w:val="000000"/>
        </w:rPr>
        <w:t xml:space="preserve">Provided that the transporter may own, hire, outsource or use on hospitability basis such connected facilities on </w:t>
      </w:r>
      <w:proofErr w:type="spellStart"/>
      <w:r>
        <w:rPr>
          <w:color w:val="000000"/>
        </w:rPr>
        <w:t>non discriminatory</w:t>
      </w:r>
      <w:proofErr w:type="spellEnd"/>
      <w:r>
        <w:rPr>
          <w:color w:val="000000"/>
        </w:rPr>
        <w:t xml:space="preserve"> basis;</w:t>
      </w:r>
    </w:p>
    <w:p w14:paraId="7494F57C" w14:textId="77777777" w:rsidR="00EA4471" w:rsidRDefault="00EA4471" w:rsidP="00EA4471">
      <w:pPr>
        <w:pStyle w:val="ListParagraph"/>
        <w:spacing w:before="240"/>
        <w:ind w:left="1276"/>
        <w:jc w:val="both"/>
        <w:rPr>
          <w:color w:val="000000"/>
        </w:rPr>
      </w:pPr>
      <w:r>
        <w:rPr>
          <w:color w:val="000000"/>
        </w:rPr>
        <w:t>Provided further for the purpose of capacity determination, these regulations shall apply to all petroleum, petroleum products pipelines including dedicated pipelines;</w:t>
      </w:r>
    </w:p>
    <w:p w14:paraId="119A956E" w14:textId="77777777" w:rsidR="00EA4471" w:rsidRDefault="00EA4471" w:rsidP="00EA4471">
      <w:pPr>
        <w:pStyle w:val="BodyTextIndent3"/>
        <w:numPr>
          <w:ilvl w:val="2"/>
          <w:numId w:val="5"/>
        </w:numPr>
        <w:spacing w:before="240" w:line="240" w:lineRule="auto"/>
        <w:ind w:left="1276" w:hanging="425"/>
        <w:rPr>
          <w:color w:val="000000"/>
        </w:rPr>
      </w:pPr>
      <w:r>
        <w:rPr>
          <w:color w:val="000000"/>
        </w:rPr>
        <w:t>“</w:t>
      </w:r>
      <w:r>
        <w:rPr>
          <w:bCs/>
          <w:color w:val="000000"/>
        </w:rPr>
        <w:t>capacity for the pipeline system</w:t>
      </w:r>
      <w:r>
        <w:rPr>
          <w:color w:val="000000"/>
        </w:rPr>
        <w:t xml:space="preserve">” means the maximum quantity of petroleum, petroleum products or natural gas that can be injected into the system or off taken from the system at specific points, meeting all the technical and operational parameters fixed in each pipeline section in a steady state </w:t>
      </w:r>
      <w:proofErr w:type="gramStart"/>
      <w:r>
        <w:rPr>
          <w:color w:val="000000"/>
        </w:rPr>
        <w:t>conditions ,</w:t>
      </w:r>
      <w:proofErr w:type="gramEnd"/>
      <w:r>
        <w:rPr>
          <w:color w:val="000000"/>
        </w:rPr>
        <w:t xml:space="preserve"> that is,  all parameters like flow, pressure, temperature are in harmony and vary only along the length of pipeline but not with time; </w:t>
      </w:r>
    </w:p>
    <w:p w14:paraId="72634857" w14:textId="0D715524" w:rsidR="00EA4471" w:rsidRDefault="00EA4471" w:rsidP="00EA4471">
      <w:pPr>
        <w:pStyle w:val="BodyTextIndent3"/>
        <w:numPr>
          <w:ilvl w:val="2"/>
          <w:numId w:val="5"/>
        </w:numPr>
        <w:spacing w:before="240" w:line="240" w:lineRule="auto"/>
        <w:ind w:left="1276" w:hanging="425"/>
        <w:rPr>
          <w:color w:val="000000"/>
        </w:rPr>
      </w:pPr>
      <w:r>
        <w:rPr>
          <w:color w:val="000000"/>
        </w:rPr>
        <w:t xml:space="preserve">“declared capacity of pipeline” means the volume of natural gas in MMSCMD (million standard cubic meters per day) that a pipeline is capable of transporting under the steady state operating conditions. For liquid pipeline the declared capacity of pipeline shall be the quantity of petroleum, petroleum products in MMTPA </w:t>
      </w:r>
      <w:r w:rsidR="006E3007">
        <w:rPr>
          <w:rStyle w:val="FootnoteReference"/>
          <w:color w:val="000000"/>
        </w:rPr>
        <w:footnoteReference w:id="1"/>
      </w:r>
      <w:r w:rsidR="006E3007">
        <w:rPr>
          <w:color w:val="000000"/>
        </w:rPr>
        <w:t>[</w:t>
      </w:r>
      <w:r w:rsidR="006E3007">
        <w:t xml:space="preserve">(Million Metric </w:t>
      </w:r>
      <w:proofErr w:type="spellStart"/>
      <w:r w:rsidR="006E3007">
        <w:t>Tonne</w:t>
      </w:r>
      <w:proofErr w:type="spellEnd"/>
      <w:r w:rsidR="006E3007">
        <w:t xml:space="preserve"> Per Annum)</w:t>
      </w:r>
      <w:r>
        <w:rPr>
          <w:color w:val="000000"/>
        </w:rPr>
        <w:t>, the pipeline is capable of transporting under the operating steady state conditions. Provided that the capacity has been determined based on the approved flow equation and the selected software package;</w:t>
      </w:r>
    </w:p>
    <w:p w14:paraId="65DB3853" w14:textId="77777777" w:rsidR="00EA4471" w:rsidRDefault="00EA4471" w:rsidP="00EA4471">
      <w:pPr>
        <w:pStyle w:val="BodyTextIndent3"/>
        <w:numPr>
          <w:ilvl w:val="2"/>
          <w:numId w:val="5"/>
        </w:numPr>
        <w:spacing w:before="240" w:line="240" w:lineRule="auto"/>
        <w:ind w:left="1276" w:hanging="425"/>
        <w:rPr>
          <w:color w:val="000000"/>
        </w:rPr>
      </w:pPr>
      <w:r>
        <w:rPr>
          <w:color w:val="000000"/>
        </w:rPr>
        <w:lastRenderedPageBreak/>
        <w:t>“section” means a portion of pipeline between any entry point to any exit point or any other entry point in the direction of flow.  Provided the computation of successive section shall start from second entry point and so on;</w:t>
      </w:r>
    </w:p>
    <w:p w14:paraId="260CB8C5" w14:textId="77777777" w:rsidR="00EA4471" w:rsidRDefault="00EA4471" w:rsidP="00EA4471">
      <w:pPr>
        <w:pStyle w:val="BodyTextIndent3"/>
        <w:numPr>
          <w:ilvl w:val="2"/>
          <w:numId w:val="5"/>
        </w:numPr>
        <w:spacing w:before="240" w:line="240" w:lineRule="auto"/>
        <w:ind w:left="1276" w:hanging="425"/>
        <w:rPr>
          <w:color w:val="000000"/>
        </w:rPr>
      </w:pPr>
      <w:r>
        <w:rPr>
          <w:color w:val="000000"/>
        </w:rPr>
        <w:t>“selected software package” means the software package used by the entity for determination of capacity of the pipeline system or the pipeline section;</w:t>
      </w:r>
    </w:p>
    <w:p w14:paraId="511937A1" w14:textId="77777777" w:rsidR="00EA4471" w:rsidRDefault="00EA4471" w:rsidP="00EA4471">
      <w:pPr>
        <w:pStyle w:val="BodyTextIndent3"/>
        <w:numPr>
          <w:ilvl w:val="2"/>
          <w:numId w:val="5"/>
        </w:numPr>
        <w:spacing w:before="240" w:line="240" w:lineRule="auto"/>
        <w:ind w:left="1276" w:hanging="425"/>
        <w:rPr>
          <w:color w:val="000000"/>
        </w:rPr>
      </w:pPr>
      <w:r>
        <w:rPr>
          <w:color w:val="000000"/>
        </w:rPr>
        <w:t>“spur-line” means a pipeline necessarily originating or branching out from the trunk or transmission pipeline or sub-transmission line or another spur line or from a terminal station on the existing transmission or trunk pipeline with diameter and capacity not greater than the trunk or transmission pipeline but having no compression facility for supply of natural gas to one or more consumers. Any pipeline having a separate gas source or a compressor shall not be treated as a spur-line. The length of spur-line may not depend upon the length of the trunk pipeline. A spur-line must use the capacity of trunk pipeline in order to transport gas. Spur line includes branch line also;</w:t>
      </w:r>
    </w:p>
    <w:p w14:paraId="4F780211" w14:textId="77777777" w:rsidR="00EA4471" w:rsidRDefault="00EA4471" w:rsidP="00EA4471">
      <w:pPr>
        <w:pStyle w:val="BodyTextIndent3"/>
        <w:numPr>
          <w:ilvl w:val="2"/>
          <w:numId w:val="5"/>
        </w:numPr>
        <w:spacing w:before="240" w:line="240" w:lineRule="auto"/>
        <w:ind w:left="1276" w:hanging="425"/>
        <w:rPr>
          <w:color w:val="000000"/>
        </w:rPr>
      </w:pPr>
      <w:r>
        <w:rPr>
          <w:color w:val="000000"/>
        </w:rPr>
        <w:t>“section capacity” means the capacity of a particular section of the pipeline which contains a supply source or a delivery source or both. In other words, the section capacity is the maximum flow that could be handled by the specific section without disturbing the connected supply or delivery condition of the shippers;</w:t>
      </w:r>
    </w:p>
    <w:p w14:paraId="49F41334" w14:textId="77777777" w:rsidR="00EA4471" w:rsidRDefault="00EA4471" w:rsidP="00EA4471">
      <w:pPr>
        <w:pStyle w:val="BodyTextIndent3"/>
        <w:numPr>
          <w:ilvl w:val="2"/>
          <w:numId w:val="5"/>
        </w:numPr>
        <w:spacing w:before="240" w:line="240" w:lineRule="auto"/>
        <w:ind w:left="1276" w:hanging="425"/>
        <w:rPr>
          <w:color w:val="000000"/>
        </w:rPr>
      </w:pPr>
      <w:r>
        <w:rPr>
          <w:color w:val="000000"/>
        </w:rPr>
        <w:t>“steady state condition” means calculation carried out based on time-invariant pressure, temperature and flow profiles throughout a pipeline using specified boundary conditions. In other words, the steady-state run calculates the hydraulic state of a pipeline system operating at equilibrium with input and output balance;</w:t>
      </w:r>
    </w:p>
    <w:p w14:paraId="3391813E" w14:textId="77777777" w:rsidR="00EA4471" w:rsidRDefault="00EA4471" w:rsidP="00EA4471">
      <w:pPr>
        <w:pStyle w:val="ListParagraph"/>
        <w:ind w:left="1276"/>
        <w:jc w:val="both"/>
        <w:rPr>
          <w:color w:val="000000"/>
        </w:rPr>
      </w:pPr>
    </w:p>
    <w:p w14:paraId="7017E8B5" w14:textId="77777777" w:rsidR="00EA4471" w:rsidRDefault="00EA4471" w:rsidP="00EA4471">
      <w:pPr>
        <w:pStyle w:val="BodyTextIndent3"/>
        <w:numPr>
          <w:ilvl w:val="0"/>
          <w:numId w:val="4"/>
        </w:numPr>
        <w:spacing w:line="240" w:lineRule="auto"/>
        <w:ind w:left="1134" w:hanging="425"/>
        <w:rPr>
          <w:bCs/>
          <w:color w:val="000000"/>
        </w:rPr>
      </w:pPr>
      <w:r>
        <w:rPr>
          <w:bCs/>
          <w:color w:val="000000"/>
        </w:rPr>
        <w:t>Words and expressions used and not defined in these regulations, but defined in the Act or in the rules or regulations made thereunder, shall have the meanings respectively assigned to them in the Act or in the rules or regulations, as the case may be.</w:t>
      </w:r>
    </w:p>
    <w:p w14:paraId="60476901" w14:textId="77777777" w:rsidR="00EA4471" w:rsidRDefault="00EA4471" w:rsidP="00EA4471">
      <w:pPr>
        <w:pStyle w:val="BodyTextIndent3"/>
        <w:numPr>
          <w:ilvl w:val="0"/>
          <w:numId w:val="3"/>
        </w:numPr>
        <w:spacing w:before="240" w:line="240" w:lineRule="auto"/>
        <w:ind w:left="709" w:hanging="283"/>
        <w:rPr>
          <w:b/>
          <w:color w:val="000000"/>
        </w:rPr>
      </w:pPr>
      <w:r>
        <w:rPr>
          <w:b/>
          <w:bCs/>
          <w:color w:val="000000"/>
        </w:rPr>
        <w:t>Applicability.</w:t>
      </w:r>
    </w:p>
    <w:p w14:paraId="2E9431F1" w14:textId="77777777" w:rsidR="00EA4471" w:rsidRDefault="00EA4471" w:rsidP="00EA4471">
      <w:pPr>
        <w:pStyle w:val="BodyTextIndent3"/>
        <w:numPr>
          <w:ilvl w:val="0"/>
          <w:numId w:val="6"/>
        </w:numPr>
        <w:spacing w:before="240" w:line="240" w:lineRule="auto"/>
        <w:ind w:left="993"/>
        <w:rPr>
          <w:bCs/>
          <w:color w:val="000000"/>
        </w:rPr>
      </w:pPr>
      <w:r>
        <w:rPr>
          <w:bCs/>
          <w:color w:val="000000"/>
        </w:rPr>
        <w:t xml:space="preserve">These regulations shall apply to an </w:t>
      </w:r>
      <w:proofErr w:type="gramStart"/>
      <w:r>
        <w:rPr>
          <w:bCs/>
          <w:color w:val="000000"/>
        </w:rPr>
        <w:t>entity:-</w:t>
      </w:r>
      <w:proofErr w:type="gramEnd"/>
    </w:p>
    <w:p w14:paraId="064CB795" w14:textId="77777777" w:rsidR="00EA4471" w:rsidRDefault="00EA4471" w:rsidP="00EA4471">
      <w:pPr>
        <w:pStyle w:val="BodyTextIndent3"/>
        <w:numPr>
          <w:ilvl w:val="0"/>
          <w:numId w:val="7"/>
        </w:numPr>
        <w:spacing w:before="240" w:line="240" w:lineRule="auto"/>
        <w:ind w:left="1276" w:hanging="425"/>
        <w:rPr>
          <w:color w:val="000000"/>
        </w:rPr>
      </w:pPr>
      <w:r>
        <w:rPr>
          <w:color w:val="000000"/>
        </w:rPr>
        <w:t xml:space="preserve">which is laying, building, operating or expanding or which proposes to lay, build, operate or expand a </w:t>
      </w:r>
      <w:bookmarkStart w:id="0" w:name="OLE_LINK4"/>
      <w:bookmarkStart w:id="1" w:name="OLE_LINK3"/>
      <w:r>
        <w:rPr>
          <w:color w:val="000000"/>
        </w:rPr>
        <w:t>petroleum, petroleum products and natural gas</w:t>
      </w:r>
      <w:bookmarkEnd w:id="0"/>
      <w:bookmarkEnd w:id="1"/>
      <w:r>
        <w:rPr>
          <w:color w:val="000000"/>
        </w:rPr>
        <w:t xml:space="preserve"> pipeline; </w:t>
      </w:r>
    </w:p>
    <w:p w14:paraId="482B781D" w14:textId="77777777" w:rsidR="00EA4471" w:rsidRDefault="00EA4471" w:rsidP="00EA4471">
      <w:pPr>
        <w:pStyle w:val="BodyTextIndent3"/>
        <w:numPr>
          <w:ilvl w:val="0"/>
          <w:numId w:val="7"/>
        </w:numPr>
        <w:spacing w:before="240" w:line="240" w:lineRule="auto"/>
        <w:ind w:left="1276" w:hanging="425"/>
        <w:rPr>
          <w:color w:val="000000"/>
        </w:rPr>
      </w:pPr>
      <w:r>
        <w:rPr>
          <w:color w:val="000000"/>
        </w:rPr>
        <w:t>which proposes to lay a dedicated pipeline or is directed by the Board to convert a dedicated pipeline for supply of petroleum, petroleum products and natural gas into a common or contract carrier petroleum, petroleum products and natural gas pipeline; or</w:t>
      </w:r>
    </w:p>
    <w:p w14:paraId="46ABD816" w14:textId="77777777" w:rsidR="00EA4471" w:rsidRDefault="00EA4471" w:rsidP="00EA4471">
      <w:pPr>
        <w:pStyle w:val="BodyTextIndent3"/>
        <w:numPr>
          <w:ilvl w:val="0"/>
          <w:numId w:val="7"/>
        </w:numPr>
        <w:spacing w:before="240" w:line="240" w:lineRule="auto"/>
        <w:ind w:left="1276" w:hanging="425"/>
        <w:rPr>
          <w:bCs/>
          <w:color w:val="000000"/>
        </w:rPr>
      </w:pPr>
      <w:r>
        <w:rPr>
          <w:color w:val="000000"/>
        </w:rPr>
        <w:t>which proposes extension or expansion of pipeline resulting into increase in capacity of the petroleum, petroleum products and natural gas pipeline.</w:t>
      </w:r>
    </w:p>
    <w:p w14:paraId="498D9EE1" w14:textId="77777777" w:rsidR="00EA4471" w:rsidRDefault="00EA4471" w:rsidP="00EA4471">
      <w:pPr>
        <w:pStyle w:val="BodyTextIndent3"/>
        <w:numPr>
          <w:ilvl w:val="0"/>
          <w:numId w:val="6"/>
        </w:numPr>
        <w:spacing w:before="240" w:line="240" w:lineRule="auto"/>
        <w:ind w:left="993" w:hanging="425"/>
        <w:rPr>
          <w:bCs/>
          <w:color w:val="000000"/>
        </w:rPr>
      </w:pPr>
      <w:r>
        <w:rPr>
          <w:bCs/>
          <w:color w:val="000000"/>
        </w:rPr>
        <w:t>These regulations cover the procedure, parameters both constant and variable and frequency of declaration of pipeline capacity in MMSCMD for Natural Gas pipeline or in MMTPA for petroleum and petroleum products pipeline.</w:t>
      </w:r>
    </w:p>
    <w:p w14:paraId="5915043D" w14:textId="77777777" w:rsidR="00EA4471" w:rsidRDefault="00EA4471" w:rsidP="00EA4471">
      <w:pPr>
        <w:pStyle w:val="ListParagraph"/>
        <w:ind w:left="600"/>
        <w:jc w:val="both"/>
        <w:rPr>
          <w:color w:val="000000"/>
        </w:rPr>
      </w:pPr>
    </w:p>
    <w:p w14:paraId="16508496" w14:textId="77777777" w:rsidR="00EA4471" w:rsidRDefault="00EA4471" w:rsidP="00EA4471">
      <w:pPr>
        <w:pStyle w:val="BodyTextIndent3"/>
        <w:numPr>
          <w:ilvl w:val="0"/>
          <w:numId w:val="3"/>
        </w:numPr>
        <w:spacing w:before="240" w:line="240" w:lineRule="auto"/>
        <w:ind w:left="851" w:hanging="426"/>
        <w:rPr>
          <w:b/>
          <w:bCs/>
          <w:color w:val="000000"/>
        </w:rPr>
      </w:pPr>
      <w:r>
        <w:rPr>
          <w:b/>
          <w:bCs/>
          <w:color w:val="000000"/>
        </w:rPr>
        <w:lastRenderedPageBreak/>
        <w:t>Intent.</w:t>
      </w:r>
    </w:p>
    <w:p w14:paraId="29FB1B9A" w14:textId="3A81DDB1" w:rsidR="00EA4471" w:rsidRDefault="00EA4471" w:rsidP="00FC2EFA">
      <w:pPr>
        <w:pStyle w:val="BodyTextIndent3"/>
        <w:numPr>
          <w:ilvl w:val="0"/>
          <w:numId w:val="8"/>
        </w:numPr>
        <w:spacing w:before="240" w:line="240" w:lineRule="auto"/>
        <w:rPr>
          <w:bCs/>
          <w:color w:val="000000"/>
        </w:rPr>
      </w:pPr>
      <w:r>
        <w:rPr>
          <w:bCs/>
          <w:color w:val="000000"/>
        </w:rPr>
        <w:t xml:space="preserve">It is intended to apply these regulations to all new and existing petroleum, petroleum products and natural gas pipelines including dedicated pipelines for the purpose of </w:t>
      </w:r>
      <w:r w:rsidR="00FC2EFA">
        <w:rPr>
          <w:rStyle w:val="FootnoteReference"/>
          <w:bCs/>
          <w:color w:val="000000"/>
        </w:rPr>
        <w:footnoteReference w:id="2"/>
      </w:r>
      <w:r w:rsidR="00FC2EFA">
        <w:rPr>
          <w:bCs/>
          <w:color w:val="000000"/>
        </w:rPr>
        <w:t>[</w:t>
      </w:r>
      <w:r w:rsidR="00FC2EFA" w:rsidRPr="00FC2EFA">
        <w:rPr>
          <w:bCs/>
          <w:color w:val="000000"/>
        </w:rPr>
        <w:t>determination or</w:t>
      </w:r>
      <w:r w:rsidR="00FC2EFA">
        <w:rPr>
          <w:bCs/>
          <w:color w:val="000000"/>
        </w:rPr>
        <w:t xml:space="preserve">] </w:t>
      </w:r>
      <w:r>
        <w:rPr>
          <w:bCs/>
          <w:color w:val="000000"/>
        </w:rPr>
        <w:t>declaration of capacity of the pipeline under steady state conditions.</w:t>
      </w:r>
    </w:p>
    <w:p w14:paraId="215EA3C3" w14:textId="38AA266A" w:rsidR="00EA4471" w:rsidRDefault="00C413C9" w:rsidP="00FC2EFA">
      <w:pPr>
        <w:pStyle w:val="BodyTextIndent3"/>
        <w:numPr>
          <w:ilvl w:val="0"/>
          <w:numId w:val="8"/>
        </w:numPr>
        <w:spacing w:before="240" w:line="240" w:lineRule="auto"/>
        <w:ind w:left="1134"/>
        <w:rPr>
          <w:bCs/>
          <w:color w:val="000000"/>
        </w:rPr>
      </w:pPr>
      <w:r>
        <w:rPr>
          <w:rStyle w:val="FootnoteReference"/>
          <w:bCs/>
          <w:color w:val="000000"/>
        </w:rPr>
        <w:footnoteReference w:id="3"/>
      </w:r>
      <w:r>
        <w:rPr>
          <w:bCs/>
          <w:color w:val="000000"/>
        </w:rPr>
        <w:t xml:space="preserve">[****] </w:t>
      </w:r>
    </w:p>
    <w:p w14:paraId="389E4FCD" w14:textId="5DEE9AAD" w:rsidR="00EA4471" w:rsidRDefault="00C413C9" w:rsidP="00FC2EFA">
      <w:pPr>
        <w:pStyle w:val="BodyTextIndent3"/>
        <w:numPr>
          <w:ilvl w:val="0"/>
          <w:numId w:val="8"/>
        </w:numPr>
        <w:spacing w:before="240" w:line="240" w:lineRule="auto"/>
        <w:ind w:left="1134"/>
        <w:rPr>
          <w:bCs/>
          <w:color w:val="000000"/>
        </w:rPr>
      </w:pPr>
      <w:r>
        <w:rPr>
          <w:rStyle w:val="FootnoteReference"/>
          <w:bCs/>
          <w:color w:val="000000"/>
        </w:rPr>
        <w:footnoteReference w:id="4"/>
      </w:r>
      <w:r>
        <w:rPr>
          <w:bCs/>
          <w:color w:val="000000"/>
        </w:rPr>
        <w:t>[****]</w:t>
      </w:r>
    </w:p>
    <w:p w14:paraId="38E70C56" w14:textId="77777777" w:rsidR="00EA4471" w:rsidRDefault="00EA4471" w:rsidP="00EA4471">
      <w:pPr>
        <w:pStyle w:val="BodyTextIndent3"/>
        <w:numPr>
          <w:ilvl w:val="0"/>
          <w:numId w:val="3"/>
        </w:numPr>
        <w:spacing w:before="240" w:line="240" w:lineRule="auto"/>
        <w:ind w:left="709" w:hanging="283"/>
        <w:rPr>
          <w:b/>
          <w:bCs/>
          <w:color w:val="000000"/>
        </w:rPr>
      </w:pPr>
      <w:r>
        <w:rPr>
          <w:b/>
          <w:bCs/>
          <w:color w:val="000000"/>
        </w:rPr>
        <w:t>Determining capacity of a Petroleum, Petroleum Products and Natural Gas Pipeline.</w:t>
      </w:r>
    </w:p>
    <w:p w14:paraId="12D1144A" w14:textId="77777777" w:rsidR="00EA4471" w:rsidRDefault="00EA4471" w:rsidP="00EA4471">
      <w:pPr>
        <w:pStyle w:val="BodyTextIndent3"/>
        <w:numPr>
          <w:ilvl w:val="0"/>
          <w:numId w:val="10"/>
        </w:numPr>
        <w:spacing w:before="240" w:line="240" w:lineRule="auto"/>
        <w:ind w:left="1276" w:hanging="425"/>
        <w:rPr>
          <w:bCs/>
          <w:color w:val="000000"/>
        </w:rPr>
      </w:pPr>
      <w:r>
        <w:rPr>
          <w:bCs/>
          <w:color w:val="000000"/>
        </w:rPr>
        <w:t xml:space="preserve">The determination of </w:t>
      </w:r>
      <w:bookmarkStart w:id="2" w:name="OLE_LINK6"/>
      <w:bookmarkStart w:id="3" w:name="OLE_LINK5"/>
      <w:r>
        <w:rPr>
          <w:bCs/>
          <w:color w:val="000000"/>
        </w:rPr>
        <w:t xml:space="preserve">capacity for the pipeline system </w:t>
      </w:r>
      <w:bookmarkEnd w:id="2"/>
      <w:bookmarkEnd w:id="3"/>
      <w:r>
        <w:rPr>
          <w:bCs/>
          <w:color w:val="000000"/>
        </w:rPr>
        <w:t xml:space="preserve">and for each section of the petroleum, petroleum products and natural gas pipeline shall be based on selected software package and flow equation approved by the Board under this regulation. It is not necessary for the entities to buy and install any specific software package. As long as the software supports the flow equation approved by the Board, the entities may continue to use or operate the system based on the previously installed software but shall have to determine the capacity of the system based on the flow equation approved by the Board in any of the compatible software package for the purpose of these regulations. </w:t>
      </w:r>
    </w:p>
    <w:p w14:paraId="7A041493" w14:textId="77777777" w:rsidR="00EA4471" w:rsidRDefault="00EA4471" w:rsidP="00EA4471">
      <w:pPr>
        <w:pStyle w:val="BodyTextIndent3"/>
        <w:numPr>
          <w:ilvl w:val="0"/>
          <w:numId w:val="10"/>
        </w:numPr>
        <w:spacing w:before="240" w:line="240" w:lineRule="auto"/>
        <w:ind w:left="1276" w:hanging="425"/>
        <w:rPr>
          <w:bCs/>
          <w:color w:val="000000"/>
        </w:rPr>
      </w:pPr>
      <w:r>
        <w:rPr>
          <w:bCs/>
          <w:color w:val="000000"/>
        </w:rPr>
        <w:t>The entity while submitting the capacity of the pipeline system to the Board shall furnish a declaration that the capacity has been calculated using the approved flow equation. The entity shall also submit the detailed calculations of the capacity and the software used for the purpose within thirty days of the notification of these regulations and thereafter as per the periodicity for determining capacity of a Petroleum, Petroleum Products and Natural Gas pipeline defined in regulation 7 of these regulations.</w:t>
      </w:r>
    </w:p>
    <w:p w14:paraId="0996465D" w14:textId="4EF31014" w:rsidR="00EA4471" w:rsidRDefault="00EA4471" w:rsidP="00EA4471">
      <w:pPr>
        <w:pStyle w:val="BodyTextIndent3"/>
        <w:numPr>
          <w:ilvl w:val="0"/>
          <w:numId w:val="10"/>
        </w:numPr>
        <w:spacing w:before="240" w:line="240" w:lineRule="auto"/>
        <w:ind w:left="1276" w:hanging="425"/>
        <w:rPr>
          <w:bCs/>
          <w:color w:val="000000"/>
        </w:rPr>
      </w:pPr>
      <w:r>
        <w:rPr>
          <w:bCs/>
          <w:color w:val="000000"/>
        </w:rPr>
        <w:t xml:space="preserve">The parameters for the steady state simulation for determining the pipeline capacity shall be considered as given below, </w:t>
      </w:r>
      <w:r w:rsidR="00885A78">
        <w:rPr>
          <w:bCs/>
          <w:color w:val="000000"/>
        </w:rPr>
        <w:t>namely: -</w:t>
      </w:r>
    </w:p>
    <w:p w14:paraId="6516141B" w14:textId="77777777" w:rsidR="00EA4471" w:rsidRDefault="00EA4471" w:rsidP="00EA4471">
      <w:pPr>
        <w:pStyle w:val="BodyTextIndent3"/>
        <w:numPr>
          <w:ilvl w:val="0"/>
          <w:numId w:val="11"/>
        </w:numPr>
        <w:spacing w:before="240" w:line="240" w:lineRule="auto"/>
        <w:ind w:left="1418"/>
        <w:rPr>
          <w:bCs/>
          <w:color w:val="000000"/>
        </w:rPr>
      </w:pPr>
      <w:bookmarkStart w:id="4" w:name="OLE_LINK16"/>
      <w:bookmarkStart w:id="5" w:name="OLE_LINK15"/>
      <w:r>
        <w:rPr>
          <w:b/>
          <w:bCs/>
          <w:color w:val="000000"/>
        </w:rPr>
        <w:t>Constant parameters</w:t>
      </w:r>
      <w:r>
        <w:rPr>
          <w:bCs/>
          <w:color w:val="000000"/>
        </w:rPr>
        <w:t xml:space="preserve"> </w:t>
      </w:r>
      <w:bookmarkEnd w:id="4"/>
      <w:bookmarkEnd w:id="5"/>
      <w:r>
        <w:rPr>
          <w:bCs/>
          <w:color w:val="000000"/>
        </w:rPr>
        <w:t>in the unit as specified in the approved flow equation as per sub-clause (v) of this clause.</w:t>
      </w:r>
    </w:p>
    <w:p w14:paraId="1B0E441A" w14:textId="77777777" w:rsidR="00EA4471" w:rsidRDefault="00EA4471" w:rsidP="00EA4471">
      <w:pPr>
        <w:pStyle w:val="BodyTextIndent3"/>
        <w:numPr>
          <w:ilvl w:val="3"/>
          <w:numId w:val="5"/>
        </w:numPr>
        <w:spacing w:before="240" w:line="240" w:lineRule="auto"/>
        <w:ind w:left="1560" w:hanging="308"/>
        <w:rPr>
          <w:color w:val="000000"/>
        </w:rPr>
      </w:pPr>
      <w:r>
        <w:rPr>
          <w:b/>
          <w:color w:val="000000"/>
        </w:rPr>
        <w:t>Internal diameter</w:t>
      </w:r>
      <w:r>
        <w:rPr>
          <w:color w:val="000000"/>
        </w:rPr>
        <w:t xml:space="preserve"> – </w:t>
      </w:r>
      <w:r>
        <w:rPr>
          <w:bCs/>
          <w:color w:val="000000"/>
        </w:rPr>
        <w:t>The internal diameter shall be determined based on weighted average of internal diameters based on different pipe thicknesses used in different sections in the pipeline system.</w:t>
      </w:r>
    </w:p>
    <w:p w14:paraId="0D574954" w14:textId="77777777" w:rsidR="00EA4471" w:rsidRDefault="00EA4471" w:rsidP="00EA4471">
      <w:pPr>
        <w:pStyle w:val="BodyTextIndent3"/>
        <w:numPr>
          <w:ilvl w:val="3"/>
          <w:numId w:val="5"/>
        </w:numPr>
        <w:spacing w:before="240" w:line="240" w:lineRule="auto"/>
        <w:ind w:left="1560" w:hanging="308"/>
        <w:rPr>
          <w:color w:val="000000"/>
        </w:rPr>
      </w:pPr>
      <w:r>
        <w:rPr>
          <w:b/>
          <w:color w:val="000000"/>
        </w:rPr>
        <w:t>Length</w:t>
      </w:r>
      <w:r>
        <w:rPr>
          <w:color w:val="000000"/>
        </w:rPr>
        <w:t xml:space="preserve"> – The actual length (for already installed pipeline) or proposed length (for yet to be installed pipeline) of the pipe in the pipeline system. </w:t>
      </w:r>
    </w:p>
    <w:p w14:paraId="68A4D19D" w14:textId="77777777" w:rsidR="00EA4471" w:rsidRDefault="00EA4471" w:rsidP="00EA4471">
      <w:pPr>
        <w:pStyle w:val="BodyTextIndent3"/>
        <w:numPr>
          <w:ilvl w:val="3"/>
          <w:numId w:val="5"/>
        </w:numPr>
        <w:spacing w:before="240" w:line="240" w:lineRule="auto"/>
        <w:ind w:left="1560"/>
        <w:rPr>
          <w:color w:val="000000"/>
        </w:rPr>
      </w:pPr>
      <w:r>
        <w:rPr>
          <w:b/>
          <w:color w:val="000000"/>
        </w:rPr>
        <w:lastRenderedPageBreak/>
        <w:t>Roughness</w:t>
      </w:r>
      <w:r>
        <w:rPr>
          <w:color w:val="000000"/>
        </w:rPr>
        <w:t xml:space="preserve"> – This is a fixed value for a pipe which determines the unevenness inside a pipe. Depending on the pipe material the below given value for roughness factor shall be </w:t>
      </w:r>
      <w:proofErr w:type="gramStart"/>
      <w:r>
        <w:rPr>
          <w:color w:val="000000"/>
        </w:rPr>
        <w:t>used :</w:t>
      </w:r>
      <w:proofErr w:type="gramEnd"/>
      <w:r>
        <w:rPr>
          <w:color w:val="000000"/>
        </w:rPr>
        <w:t xml:space="preserve"> </w:t>
      </w:r>
    </w:p>
    <w:p w14:paraId="160A536C" w14:textId="77777777" w:rsidR="00EA4471" w:rsidRDefault="00EA4471" w:rsidP="00EA4471">
      <w:pPr>
        <w:pStyle w:val="ListParagraph"/>
        <w:ind w:left="360"/>
        <w:jc w:val="both"/>
        <w:rPr>
          <w:color w:val="000000"/>
        </w:rPr>
      </w:pPr>
    </w:p>
    <w:tbl>
      <w:tblPr>
        <w:tblW w:w="7983"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49"/>
        <w:gridCol w:w="3034"/>
      </w:tblGrid>
      <w:tr w:rsidR="00EA4471" w14:paraId="74E6EFFA" w14:textId="77777777" w:rsidTr="00EA4471">
        <w:trPr>
          <w:trHeight w:val="300"/>
        </w:trPr>
        <w:tc>
          <w:tcPr>
            <w:tcW w:w="4949" w:type="dxa"/>
            <w:tcBorders>
              <w:top w:val="single" w:sz="4" w:space="0" w:color="auto"/>
              <w:left w:val="single" w:sz="4" w:space="0" w:color="auto"/>
              <w:bottom w:val="single" w:sz="4" w:space="0" w:color="auto"/>
              <w:right w:val="single" w:sz="4" w:space="0" w:color="auto"/>
            </w:tcBorders>
            <w:noWrap/>
            <w:vAlign w:val="bottom"/>
            <w:hideMark/>
          </w:tcPr>
          <w:p w14:paraId="252F127B" w14:textId="77777777" w:rsidR="00EA4471" w:rsidRDefault="00EA4471">
            <w:pPr>
              <w:ind w:left="360"/>
              <w:jc w:val="center"/>
              <w:rPr>
                <w:b/>
                <w:color w:val="000000"/>
              </w:rPr>
            </w:pPr>
            <w:r>
              <w:rPr>
                <w:b/>
                <w:color w:val="000000"/>
              </w:rPr>
              <w:t>Type of Material</w:t>
            </w:r>
          </w:p>
        </w:tc>
        <w:tc>
          <w:tcPr>
            <w:tcW w:w="3034" w:type="dxa"/>
            <w:tcBorders>
              <w:top w:val="single" w:sz="4" w:space="0" w:color="auto"/>
              <w:left w:val="single" w:sz="4" w:space="0" w:color="auto"/>
              <w:bottom w:val="single" w:sz="4" w:space="0" w:color="auto"/>
              <w:right w:val="single" w:sz="4" w:space="0" w:color="auto"/>
            </w:tcBorders>
            <w:noWrap/>
            <w:vAlign w:val="bottom"/>
            <w:hideMark/>
          </w:tcPr>
          <w:p w14:paraId="19E4ADA9" w14:textId="77777777" w:rsidR="00EA4471" w:rsidRDefault="00EA4471">
            <w:pPr>
              <w:ind w:left="360"/>
              <w:jc w:val="center"/>
              <w:rPr>
                <w:b/>
                <w:color w:val="000000"/>
              </w:rPr>
            </w:pPr>
            <w:r>
              <w:rPr>
                <w:b/>
                <w:color w:val="000000"/>
              </w:rPr>
              <w:t>Roughness (micron)</w:t>
            </w:r>
          </w:p>
        </w:tc>
      </w:tr>
      <w:tr w:rsidR="00EA4471" w14:paraId="3B7D0E6C" w14:textId="77777777" w:rsidTr="00EA4471">
        <w:trPr>
          <w:trHeight w:val="300"/>
        </w:trPr>
        <w:tc>
          <w:tcPr>
            <w:tcW w:w="4949" w:type="dxa"/>
            <w:tcBorders>
              <w:top w:val="single" w:sz="4" w:space="0" w:color="auto"/>
              <w:left w:val="single" w:sz="4" w:space="0" w:color="auto"/>
              <w:bottom w:val="single" w:sz="4" w:space="0" w:color="auto"/>
              <w:right w:val="single" w:sz="4" w:space="0" w:color="auto"/>
            </w:tcBorders>
            <w:noWrap/>
            <w:vAlign w:val="bottom"/>
            <w:hideMark/>
          </w:tcPr>
          <w:p w14:paraId="5A9143E1" w14:textId="77777777" w:rsidR="00EA4471" w:rsidRDefault="00EA4471">
            <w:pPr>
              <w:ind w:left="360"/>
              <w:rPr>
                <w:color w:val="000000"/>
              </w:rPr>
            </w:pPr>
            <w:r>
              <w:rPr>
                <w:color w:val="000000"/>
              </w:rPr>
              <w:t>Steel – New Pipe</w:t>
            </w:r>
          </w:p>
        </w:tc>
        <w:tc>
          <w:tcPr>
            <w:tcW w:w="3034" w:type="dxa"/>
            <w:tcBorders>
              <w:top w:val="single" w:sz="4" w:space="0" w:color="auto"/>
              <w:left w:val="single" w:sz="4" w:space="0" w:color="auto"/>
              <w:bottom w:val="single" w:sz="4" w:space="0" w:color="auto"/>
              <w:right w:val="single" w:sz="4" w:space="0" w:color="auto"/>
            </w:tcBorders>
            <w:noWrap/>
            <w:vAlign w:val="bottom"/>
          </w:tcPr>
          <w:p w14:paraId="11E5E489" w14:textId="77777777" w:rsidR="00EA4471" w:rsidRDefault="00EA4471">
            <w:pPr>
              <w:ind w:left="360"/>
              <w:rPr>
                <w:color w:val="000000"/>
              </w:rPr>
            </w:pPr>
          </w:p>
        </w:tc>
      </w:tr>
      <w:tr w:rsidR="00EA4471" w14:paraId="142D4D9A" w14:textId="77777777" w:rsidTr="00EA4471">
        <w:trPr>
          <w:trHeight w:val="300"/>
        </w:trPr>
        <w:tc>
          <w:tcPr>
            <w:tcW w:w="4949" w:type="dxa"/>
            <w:tcBorders>
              <w:top w:val="single" w:sz="4" w:space="0" w:color="auto"/>
              <w:left w:val="single" w:sz="4" w:space="0" w:color="auto"/>
              <w:bottom w:val="single" w:sz="4" w:space="0" w:color="auto"/>
              <w:right w:val="single" w:sz="4" w:space="0" w:color="auto"/>
            </w:tcBorders>
            <w:noWrap/>
            <w:vAlign w:val="bottom"/>
            <w:hideMark/>
          </w:tcPr>
          <w:p w14:paraId="479F16FB" w14:textId="77777777" w:rsidR="00EA4471" w:rsidRDefault="00EA4471" w:rsidP="00192AD3">
            <w:pPr>
              <w:numPr>
                <w:ilvl w:val="6"/>
                <w:numId w:val="5"/>
              </w:numPr>
              <w:ind w:left="489"/>
              <w:jc w:val="right"/>
              <w:rPr>
                <w:color w:val="000000"/>
              </w:rPr>
            </w:pPr>
            <w:r>
              <w:rPr>
                <w:color w:val="000000"/>
              </w:rPr>
              <w:t>With internal coating</w:t>
            </w:r>
          </w:p>
        </w:tc>
        <w:tc>
          <w:tcPr>
            <w:tcW w:w="3034" w:type="dxa"/>
            <w:tcBorders>
              <w:top w:val="single" w:sz="4" w:space="0" w:color="auto"/>
              <w:left w:val="single" w:sz="4" w:space="0" w:color="auto"/>
              <w:bottom w:val="single" w:sz="4" w:space="0" w:color="auto"/>
              <w:right w:val="single" w:sz="4" w:space="0" w:color="auto"/>
            </w:tcBorders>
            <w:noWrap/>
            <w:vAlign w:val="bottom"/>
            <w:hideMark/>
          </w:tcPr>
          <w:p w14:paraId="3D417B8B" w14:textId="77777777" w:rsidR="00EA4471" w:rsidRDefault="00EA4471">
            <w:pPr>
              <w:ind w:left="-18"/>
              <w:jc w:val="center"/>
              <w:rPr>
                <w:color w:val="000000"/>
              </w:rPr>
            </w:pPr>
            <w:r>
              <w:rPr>
                <w:color w:val="000000"/>
              </w:rPr>
              <w:t>10-15</w:t>
            </w:r>
          </w:p>
        </w:tc>
      </w:tr>
      <w:tr w:rsidR="00EA4471" w14:paraId="6D4373B2" w14:textId="77777777" w:rsidTr="00EA4471">
        <w:trPr>
          <w:trHeight w:val="300"/>
        </w:trPr>
        <w:tc>
          <w:tcPr>
            <w:tcW w:w="4949" w:type="dxa"/>
            <w:tcBorders>
              <w:top w:val="single" w:sz="4" w:space="0" w:color="auto"/>
              <w:left w:val="single" w:sz="4" w:space="0" w:color="auto"/>
              <w:bottom w:val="single" w:sz="4" w:space="0" w:color="auto"/>
              <w:right w:val="single" w:sz="4" w:space="0" w:color="auto"/>
            </w:tcBorders>
            <w:noWrap/>
            <w:vAlign w:val="bottom"/>
            <w:hideMark/>
          </w:tcPr>
          <w:p w14:paraId="2906D913" w14:textId="77777777" w:rsidR="00EA4471" w:rsidRDefault="00EA4471" w:rsidP="00192AD3">
            <w:pPr>
              <w:numPr>
                <w:ilvl w:val="6"/>
                <w:numId w:val="5"/>
              </w:numPr>
              <w:ind w:left="574"/>
              <w:jc w:val="right"/>
              <w:rPr>
                <w:color w:val="000000"/>
              </w:rPr>
            </w:pPr>
            <w:r>
              <w:rPr>
                <w:color w:val="000000"/>
              </w:rPr>
              <w:t xml:space="preserve"> Without internal coating</w:t>
            </w:r>
          </w:p>
        </w:tc>
        <w:tc>
          <w:tcPr>
            <w:tcW w:w="3034" w:type="dxa"/>
            <w:tcBorders>
              <w:top w:val="single" w:sz="4" w:space="0" w:color="auto"/>
              <w:left w:val="single" w:sz="4" w:space="0" w:color="auto"/>
              <w:bottom w:val="single" w:sz="4" w:space="0" w:color="auto"/>
              <w:right w:val="single" w:sz="4" w:space="0" w:color="auto"/>
            </w:tcBorders>
            <w:noWrap/>
            <w:vAlign w:val="bottom"/>
            <w:hideMark/>
          </w:tcPr>
          <w:p w14:paraId="06C2765D" w14:textId="77777777" w:rsidR="00EA4471" w:rsidRDefault="00EA4471">
            <w:pPr>
              <w:ind w:left="-18"/>
              <w:jc w:val="center"/>
              <w:rPr>
                <w:color w:val="000000"/>
              </w:rPr>
            </w:pPr>
            <w:r>
              <w:rPr>
                <w:color w:val="000000"/>
              </w:rPr>
              <w:t>35-40</w:t>
            </w:r>
          </w:p>
        </w:tc>
      </w:tr>
      <w:tr w:rsidR="00EA4471" w14:paraId="0EC24515" w14:textId="77777777" w:rsidTr="00EA4471">
        <w:trPr>
          <w:trHeight w:val="300"/>
        </w:trPr>
        <w:tc>
          <w:tcPr>
            <w:tcW w:w="4949" w:type="dxa"/>
            <w:tcBorders>
              <w:top w:val="single" w:sz="4" w:space="0" w:color="auto"/>
              <w:left w:val="single" w:sz="4" w:space="0" w:color="auto"/>
              <w:bottom w:val="single" w:sz="4" w:space="0" w:color="auto"/>
              <w:right w:val="single" w:sz="4" w:space="0" w:color="auto"/>
            </w:tcBorders>
            <w:noWrap/>
            <w:vAlign w:val="bottom"/>
            <w:hideMark/>
          </w:tcPr>
          <w:p w14:paraId="4FBA706B" w14:textId="77777777" w:rsidR="00EA4471" w:rsidRDefault="00EA4471">
            <w:pPr>
              <w:ind w:left="360"/>
              <w:rPr>
                <w:color w:val="000000"/>
              </w:rPr>
            </w:pPr>
            <w:r>
              <w:rPr>
                <w:color w:val="000000"/>
              </w:rPr>
              <w:t>Steel – old Pipe (more than ten years)</w:t>
            </w:r>
          </w:p>
        </w:tc>
        <w:tc>
          <w:tcPr>
            <w:tcW w:w="3034" w:type="dxa"/>
            <w:tcBorders>
              <w:top w:val="single" w:sz="4" w:space="0" w:color="auto"/>
              <w:left w:val="single" w:sz="4" w:space="0" w:color="auto"/>
              <w:bottom w:val="single" w:sz="4" w:space="0" w:color="auto"/>
              <w:right w:val="single" w:sz="4" w:space="0" w:color="auto"/>
            </w:tcBorders>
            <w:noWrap/>
            <w:vAlign w:val="bottom"/>
          </w:tcPr>
          <w:p w14:paraId="3E77A358" w14:textId="77777777" w:rsidR="00EA4471" w:rsidRDefault="00EA4471">
            <w:pPr>
              <w:ind w:left="-18"/>
              <w:rPr>
                <w:color w:val="000000"/>
              </w:rPr>
            </w:pPr>
          </w:p>
        </w:tc>
      </w:tr>
      <w:tr w:rsidR="00EA4471" w14:paraId="3D351334" w14:textId="77777777" w:rsidTr="00EA4471">
        <w:trPr>
          <w:trHeight w:val="300"/>
        </w:trPr>
        <w:tc>
          <w:tcPr>
            <w:tcW w:w="4949" w:type="dxa"/>
            <w:tcBorders>
              <w:top w:val="single" w:sz="4" w:space="0" w:color="auto"/>
              <w:left w:val="single" w:sz="4" w:space="0" w:color="auto"/>
              <w:bottom w:val="single" w:sz="4" w:space="0" w:color="auto"/>
              <w:right w:val="single" w:sz="4" w:space="0" w:color="auto"/>
            </w:tcBorders>
            <w:noWrap/>
            <w:vAlign w:val="bottom"/>
            <w:hideMark/>
          </w:tcPr>
          <w:p w14:paraId="4DE0EF80" w14:textId="77777777" w:rsidR="00EA4471" w:rsidRDefault="00EA4471" w:rsidP="00192AD3">
            <w:pPr>
              <w:numPr>
                <w:ilvl w:val="6"/>
                <w:numId w:val="5"/>
              </w:numPr>
              <w:ind w:left="489"/>
              <w:jc w:val="right"/>
              <w:rPr>
                <w:color w:val="000000"/>
              </w:rPr>
            </w:pPr>
            <w:r>
              <w:rPr>
                <w:color w:val="000000"/>
              </w:rPr>
              <w:t>With internal coating</w:t>
            </w:r>
          </w:p>
        </w:tc>
        <w:tc>
          <w:tcPr>
            <w:tcW w:w="3034" w:type="dxa"/>
            <w:tcBorders>
              <w:top w:val="single" w:sz="4" w:space="0" w:color="auto"/>
              <w:left w:val="single" w:sz="4" w:space="0" w:color="auto"/>
              <w:bottom w:val="single" w:sz="4" w:space="0" w:color="auto"/>
              <w:right w:val="single" w:sz="4" w:space="0" w:color="auto"/>
            </w:tcBorders>
            <w:noWrap/>
            <w:vAlign w:val="bottom"/>
            <w:hideMark/>
          </w:tcPr>
          <w:p w14:paraId="4950D62B" w14:textId="77777777" w:rsidR="00EA4471" w:rsidRDefault="00EA4471">
            <w:pPr>
              <w:ind w:left="-18"/>
              <w:jc w:val="center"/>
              <w:rPr>
                <w:color w:val="000000"/>
              </w:rPr>
            </w:pPr>
            <w:r>
              <w:rPr>
                <w:color w:val="000000"/>
              </w:rPr>
              <w:t>15-20</w:t>
            </w:r>
          </w:p>
        </w:tc>
      </w:tr>
      <w:tr w:rsidR="00EA4471" w14:paraId="789D5543" w14:textId="77777777" w:rsidTr="00EA4471">
        <w:trPr>
          <w:trHeight w:val="300"/>
        </w:trPr>
        <w:tc>
          <w:tcPr>
            <w:tcW w:w="4949" w:type="dxa"/>
            <w:tcBorders>
              <w:top w:val="single" w:sz="4" w:space="0" w:color="auto"/>
              <w:left w:val="single" w:sz="4" w:space="0" w:color="auto"/>
              <w:bottom w:val="single" w:sz="4" w:space="0" w:color="auto"/>
              <w:right w:val="single" w:sz="4" w:space="0" w:color="auto"/>
            </w:tcBorders>
            <w:noWrap/>
            <w:vAlign w:val="bottom"/>
            <w:hideMark/>
          </w:tcPr>
          <w:p w14:paraId="382E74BA" w14:textId="77777777" w:rsidR="00EA4471" w:rsidRDefault="00EA4471" w:rsidP="00192AD3">
            <w:pPr>
              <w:numPr>
                <w:ilvl w:val="6"/>
                <w:numId w:val="5"/>
              </w:numPr>
              <w:ind w:left="574"/>
              <w:jc w:val="right"/>
              <w:rPr>
                <w:color w:val="000000"/>
              </w:rPr>
            </w:pPr>
            <w:r>
              <w:rPr>
                <w:color w:val="000000"/>
              </w:rPr>
              <w:t xml:space="preserve"> Without internal coating</w:t>
            </w:r>
          </w:p>
        </w:tc>
        <w:tc>
          <w:tcPr>
            <w:tcW w:w="3034" w:type="dxa"/>
            <w:tcBorders>
              <w:top w:val="single" w:sz="4" w:space="0" w:color="auto"/>
              <w:left w:val="single" w:sz="4" w:space="0" w:color="auto"/>
              <w:bottom w:val="single" w:sz="4" w:space="0" w:color="auto"/>
              <w:right w:val="single" w:sz="4" w:space="0" w:color="auto"/>
            </w:tcBorders>
            <w:noWrap/>
            <w:vAlign w:val="bottom"/>
            <w:hideMark/>
          </w:tcPr>
          <w:p w14:paraId="6940DE4E" w14:textId="77777777" w:rsidR="00EA4471" w:rsidRDefault="00EA4471">
            <w:pPr>
              <w:ind w:left="-18"/>
              <w:jc w:val="center"/>
              <w:rPr>
                <w:color w:val="000000"/>
              </w:rPr>
            </w:pPr>
            <w:r>
              <w:rPr>
                <w:color w:val="000000"/>
              </w:rPr>
              <w:t>40-45</w:t>
            </w:r>
          </w:p>
        </w:tc>
      </w:tr>
    </w:tbl>
    <w:p w14:paraId="46DCE001" w14:textId="77777777" w:rsidR="00EA4471" w:rsidRDefault="00EA4471" w:rsidP="00EA4471">
      <w:pPr>
        <w:pStyle w:val="BodyTextIndent3"/>
        <w:spacing w:line="240" w:lineRule="auto"/>
        <w:rPr>
          <w:bCs/>
          <w:color w:val="000000"/>
        </w:rPr>
      </w:pPr>
    </w:p>
    <w:p w14:paraId="228A5929" w14:textId="77777777" w:rsidR="00EA4471" w:rsidRDefault="00EA4471" w:rsidP="00EA4471">
      <w:pPr>
        <w:pStyle w:val="BodyTextIndent3"/>
        <w:spacing w:before="240" w:line="240" w:lineRule="auto"/>
        <w:ind w:left="1560" w:firstLine="0"/>
        <w:rPr>
          <w:color w:val="000000"/>
        </w:rPr>
      </w:pPr>
      <w:r>
        <w:rPr>
          <w:bCs/>
          <w:color w:val="000000"/>
        </w:rPr>
        <w:t xml:space="preserve">For old pipelines already operating, roughness factor shall be determined by duly calibrating actual field data in the approved flow equation. These factors shall be assessed by the capacity assessment group. For new pipelines, roughness factor used shall be decided </w:t>
      </w:r>
      <w:r>
        <w:rPr>
          <w:color w:val="000000"/>
        </w:rPr>
        <w:t xml:space="preserve">keeping in view the operating conditions and pipeline feature like bends, valves, or any other restrictions present in the system: </w:t>
      </w:r>
    </w:p>
    <w:p w14:paraId="308B48B8" w14:textId="77777777" w:rsidR="00EA4471" w:rsidRDefault="00EA4471" w:rsidP="00EA4471">
      <w:pPr>
        <w:pStyle w:val="ListParagraph"/>
        <w:spacing w:before="240"/>
        <w:ind w:left="1560"/>
        <w:jc w:val="both"/>
        <w:rPr>
          <w:color w:val="000000"/>
        </w:rPr>
      </w:pPr>
      <w:r>
        <w:rPr>
          <w:color w:val="000000"/>
        </w:rPr>
        <w:t>Provided that the entity shall declare in advance the roughness factor considered for the pipes with relevant operating data to support the value chosen in case it is different from the above values.</w:t>
      </w:r>
    </w:p>
    <w:p w14:paraId="6A7197FA" w14:textId="77777777" w:rsidR="00EA4471" w:rsidRDefault="00EA4471" w:rsidP="00EA4471">
      <w:pPr>
        <w:pStyle w:val="BodyTextIndent3"/>
        <w:numPr>
          <w:ilvl w:val="3"/>
          <w:numId w:val="5"/>
        </w:numPr>
        <w:spacing w:before="240" w:line="240" w:lineRule="auto"/>
        <w:ind w:left="1560" w:hanging="425"/>
        <w:rPr>
          <w:color w:val="000000"/>
        </w:rPr>
      </w:pPr>
      <w:r>
        <w:rPr>
          <w:b/>
          <w:color w:val="000000"/>
        </w:rPr>
        <w:t>Efficiency factor</w:t>
      </w:r>
      <w:r>
        <w:rPr>
          <w:color w:val="000000"/>
        </w:rPr>
        <w:t xml:space="preserve"> –Efficiency factor within the range of 0.85 to 1.0 shall be used. For old pipelines already operating, efficiency factor shall be determined by duly calibrating actual field data in the approved flow equation. </w:t>
      </w:r>
      <w:r>
        <w:rPr>
          <w:bCs/>
          <w:color w:val="000000"/>
        </w:rPr>
        <w:t xml:space="preserve">These factors shall be assessed by the capacity assessment group. </w:t>
      </w:r>
      <w:r>
        <w:rPr>
          <w:color w:val="000000"/>
        </w:rPr>
        <w:t xml:space="preserve">For new pipelines efficiency factor used shall be decided keeping in view the operating conditions and pipeline feature like bends, valves, life of pipeline or any other restrictions present in the system: </w:t>
      </w:r>
    </w:p>
    <w:p w14:paraId="22E0498F" w14:textId="77777777" w:rsidR="00EA4471" w:rsidRDefault="00EA4471" w:rsidP="00EA4471">
      <w:pPr>
        <w:pStyle w:val="BodyTextIndent3"/>
        <w:spacing w:before="240" w:line="240" w:lineRule="auto"/>
        <w:ind w:left="1560" w:firstLine="0"/>
        <w:rPr>
          <w:color w:val="000000"/>
        </w:rPr>
      </w:pPr>
      <w:r>
        <w:rPr>
          <w:color w:val="000000"/>
        </w:rPr>
        <w:t>Provided that the entity shall declare in advance the efficiency factor considered for the pipes with relevant operating data to support the value chosen in case it is different from the above values giving complete analysis. The Board may direct the entity to improve upon such design.</w:t>
      </w:r>
    </w:p>
    <w:p w14:paraId="1172B078" w14:textId="77777777" w:rsidR="00EA4471" w:rsidRDefault="00EA4471" w:rsidP="00EA4471">
      <w:pPr>
        <w:jc w:val="both"/>
        <w:rPr>
          <w:color w:val="000000"/>
        </w:rPr>
      </w:pPr>
      <w:r>
        <w:rPr>
          <w:color w:val="000000"/>
        </w:rPr>
        <w:t xml:space="preserve">           </w:t>
      </w:r>
    </w:p>
    <w:p w14:paraId="77E8A3F0" w14:textId="77777777" w:rsidR="00EA4471" w:rsidRDefault="00EA4471" w:rsidP="00EA4471">
      <w:pPr>
        <w:pStyle w:val="BodyTextIndent3"/>
        <w:numPr>
          <w:ilvl w:val="3"/>
          <w:numId w:val="5"/>
        </w:numPr>
        <w:spacing w:line="240" w:lineRule="auto"/>
        <w:ind w:left="1560"/>
        <w:rPr>
          <w:color w:val="000000"/>
        </w:rPr>
      </w:pPr>
      <w:r>
        <w:rPr>
          <w:b/>
          <w:color w:val="000000"/>
        </w:rPr>
        <w:t>Formula</w:t>
      </w:r>
      <w:r>
        <w:rPr>
          <w:color w:val="000000"/>
        </w:rPr>
        <w:t xml:space="preserve"> – For determination of friction factor in the pipeline the following flow equation shall be used;</w:t>
      </w:r>
    </w:p>
    <w:p w14:paraId="32E61ECE" w14:textId="77777777" w:rsidR="00EA4471" w:rsidRDefault="00EA4471" w:rsidP="00EA4471">
      <w:pPr>
        <w:pStyle w:val="BodyTextIndent3"/>
        <w:spacing w:line="240" w:lineRule="auto"/>
        <w:ind w:left="450" w:firstLine="0"/>
        <w:rPr>
          <w:color w:val="000000"/>
        </w:rPr>
      </w:pPr>
    </w:p>
    <w:tbl>
      <w:tblPr>
        <w:tblW w:w="7698" w:type="dxa"/>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60"/>
        <w:gridCol w:w="4038"/>
      </w:tblGrid>
      <w:tr w:rsidR="00EA4471" w14:paraId="559B8344" w14:textId="77777777" w:rsidTr="00EA4471">
        <w:trPr>
          <w:trHeight w:val="300"/>
        </w:trPr>
        <w:tc>
          <w:tcPr>
            <w:tcW w:w="3660" w:type="dxa"/>
            <w:tcBorders>
              <w:top w:val="single" w:sz="4" w:space="0" w:color="auto"/>
              <w:left w:val="single" w:sz="4" w:space="0" w:color="auto"/>
              <w:bottom w:val="single" w:sz="4" w:space="0" w:color="auto"/>
              <w:right w:val="single" w:sz="4" w:space="0" w:color="auto"/>
            </w:tcBorders>
            <w:noWrap/>
            <w:vAlign w:val="bottom"/>
            <w:hideMark/>
          </w:tcPr>
          <w:p w14:paraId="41389EFA" w14:textId="77777777" w:rsidR="00EA4471" w:rsidRDefault="00EA4471">
            <w:pPr>
              <w:jc w:val="center"/>
              <w:rPr>
                <w:b/>
                <w:color w:val="000000"/>
              </w:rPr>
            </w:pPr>
            <w:r>
              <w:rPr>
                <w:b/>
                <w:color w:val="000000"/>
              </w:rPr>
              <w:t>Type of Pipeline</w:t>
            </w:r>
          </w:p>
        </w:tc>
        <w:tc>
          <w:tcPr>
            <w:tcW w:w="4038" w:type="dxa"/>
            <w:tcBorders>
              <w:top w:val="single" w:sz="4" w:space="0" w:color="auto"/>
              <w:left w:val="single" w:sz="4" w:space="0" w:color="auto"/>
              <w:bottom w:val="single" w:sz="4" w:space="0" w:color="auto"/>
              <w:right w:val="single" w:sz="4" w:space="0" w:color="auto"/>
            </w:tcBorders>
            <w:noWrap/>
            <w:vAlign w:val="bottom"/>
            <w:hideMark/>
          </w:tcPr>
          <w:p w14:paraId="3437A401" w14:textId="77777777" w:rsidR="00EA4471" w:rsidRDefault="00EA4471">
            <w:pPr>
              <w:jc w:val="center"/>
              <w:rPr>
                <w:b/>
                <w:color w:val="000000"/>
              </w:rPr>
            </w:pPr>
            <w:r>
              <w:rPr>
                <w:b/>
                <w:color w:val="000000"/>
              </w:rPr>
              <w:t>Name of Flow equation</w:t>
            </w:r>
          </w:p>
        </w:tc>
      </w:tr>
      <w:tr w:rsidR="00EA4471" w14:paraId="37211E6B" w14:textId="77777777" w:rsidTr="00EA4471">
        <w:trPr>
          <w:trHeight w:val="300"/>
        </w:trPr>
        <w:tc>
          <w:tcPr>
            <w:tcW w:w="3660" w:type="dxa"/>
            <w:tcBorders>
              <w:top w:val="single" w:sz="4" w:space="0" w:color="auto"/>
              <w:left w:val="single" w:sz="4" w:space="0" w:color="auto"/>
              <w:bottom w:val="single" w:sz="4" w:space="0" w:color="auto"/>
              <w:right w:val="single" w:sz="4" w:space="0" w:color="auto"/>
            </w:tcBorders>
            <w:noWrap/>
            <w:hideMark/>
          </w:tcPr>
          <w:p w14:paraId="4A07BDCA" w14:textId="77777777" w:rsidR="00EA4471" w:rsidRDefault="00EA4471">
            <w:pPr>
              <w:jc w:val="center"/>
              <w:rPr>
                <w:color w:val="000000"/>
              </w:rPr>
            </w:pPr>
            <w:r>
              <w:rPr>
                <w:color w:val="000000"/>
              </w:rPr>
              <w:t>Natural Gas</w:t>
            </w:r>
          </w:p>
        </w:tc>
        <w:tc>
          <w:tcPr>
            <w:tcW w:w="4038" w:type="dxa"/>
            <w:tcBorders>
              <w:top w:val="single" w:sz="4" w:space="0" w:color="auto"/>
              <w:left w:val="single" w:sz="4" w:space="0" w:color="auto"/>
              <w:bottom w:val="single" w:sz="4" w:space="0" w:color="auto"/>
              <w:right w:val="single" w:sz="4" w:space="0" w:color="auto"/>
            </w:tcBorders>
            <w:noWrap/>
            <w:vAlign w:val="bottom"/>
          </w:tcPr>
          <w:p w14:paraId="2608D26A" w14:textId="77777777" w:rsidR="00EA4471" w:rsidRDefault="00EA4471">
            <w:pPr>
              <w:jc w:val="center"/>
              <w:rPr>
                <w:color w:val="000000"/>
              </w:rPr>
            </w:pPr>
            <w:r>
              <w:rPr>
                <w:color w:val="000000"/>
              </w:rPr>
              <w:t>Panhandle Modified</w:t>
            </w:r>
          </w:p>
          <w:p w14:paraId="3B7CF2CB" w14:textId="77777777" w:rsidR="00EA4471" w:rsidRDefault="00EA4471">
            <w:pPr>
              <w:ind w:left="106"/>
              <w:rPr>
                <w:color w:val="000000"/>
              </w:rPr>
            </w:pPr>
            <w:r>
              <w:rPr>
                <w:color w:val="000000"/>
              </w:rPr>
              <w:t>Panhandle A for Pipe size ≤ 24"</w:t>
            </w:r>
          </w:p>
          <w:p w14:paraId="437B17C2" w14:textId="77777777" w:rsidR="00EA4471" w:rsidRDefault="00EA4471">
            <w:pPr>
              <w:ind w:left="106"/>
              <w:rPr>
                <w:color w:val="000000"/>
              </w:rPr>
            </w:pPr>
            <w:r>
              <w:rPr>
                <w:color w:val="000000"/>
              </w:rPr>
              <w:t>Panhandle B for Pipe size &gt; 24"</w:t>
            </w:r>
          </w:p>
          <w:p w14:paraId="644B484A" w14:textId="77777777" w:rsidR="00EA4471" w:rsidRDefault="00EA4471">
            <w:pPr>
              <w:jc w:val="center"/>
              <w:rPr>
                <w:color w:val="000000"/>
              </w:rPr>
            </w:pPr>
          </w:p>
        </w:tc>
      </w:tr>
      <w:tr w:rsidR="00EA4471" w14:paraId="4C460EA0" w14:textId="77777777" w:rsidTr="00EA4471">
        <w:trPr>
          <w:trHeight w:val="300"/>
        </w:trPr>
        <w:tc>
          <w:tcPr>
            <w:tcW w:w="3660" w:type="dxa"/>
            <w:tcBorders>
              <w:top w:val="single" w:sz="4" w:space="0" w:color="auto"/>
              <w:left w:val="single" w:sz="4" w:space="0" w:color="auto"/>
              <w:bottom w:val="single" w:sz="4" w:space="0" w:color="auto"/>
              <w:right w:val="single" w:sz="4" w:space="0" w:color="auto"/>
            </w:tcBorders>
            <w:noWrap/>
            <w:vAlign w:val="bottom"/>
            <w:hideMark/>
          </w:tcPr>
          <w:p w14:paraId="0C98B90E" w14:textId="77777777" w:rsidR="00EA4471" w:rsidRDefault="00EA4471">
            <w:pPr>
              <w:jc w:val="center"/>
              <w:rPr>
                <w:color w:val="000000"/>
              </w:rPr>
            </w:pPr>
            <w:r>
              <w:rPr>
                <w:color w:val="000000"/>
              </w:rPr>
              <w:t>Petroleum and Petroleum Products</w:t>
            </w:r>
          </w:p>
        </w:tc>
        <w:tc>
          <w:tcPr>
            <w:tcW w:w="4038" w:type="dxa"/>
            <w:tcBorders>
              <w:top w:val="single" w:sz="4" w:space="0" w:color="auto"/>
              <w:left w:val="single" w:sz="4" w:space="0" w:color="auto"/>
              <w:bottom w:val="single" w:sz="4" w:space="0" w:color="auto"/>
              <w:right w:val="single" w:sz="4" w:space="0" w:color="auto"/>
            </w:tcBorders>
            <w:noWrap/>
            <w:vAlign w:val="bottom"/>
            <w:hideMark/>
          </w:tcPr>
          <w:p w14:paraId="59FFFAD1" w14:textId="77777777" w:rsidR="00EA4471" w:rsidRDefault="00EA4471">
            <w:pPr>
              <w:jc w:val="center"/>
              <w:rPr>
                <w:color w:val="000000"/>
              </w:rPr>
            </w:pPr>
            <w:r>
              <w:rPr>
                <w:color w:val="000000"/>
              </w:rPr>
              <w:t>Colebrook White</w:t>
            </w:r>
          </w:p>
        </w:tc>
      </w:tr>
    </w:tbl>
    <w:p w14:paraId="36ABDCC7" w14:textId="77777777" w:rsidR="00EA4471" w:rsidRDefault="00EA4471" w:rsidP="00EA4471">
      <w:pPr>
        <w:pStyle w:val="BodyTextIndent3"/>
        <w:spacing w:line="240" w:lineRule="auto"/>
        <w:ind w:left="1560" w:firstLine="0"/>
        <w:rPr>
          <w:color w:val="000000"/>
        </w:rPr>
      </w:pPr>
    </w:p>
    <w:p w14:paraId="7A419129" w14:textId="77777777" w:rsidR="00EA4471" w:rsidRDefault="00EA4471" w:rsidP="00EA4471">
      <w:pPr>
        <w:pStyle w:val="BodyTextIndent3"/>
        <w:spacing w:before="240" w:line="240" w:lineRule="auto"/>
        <w:ind w:left="1560" w:firstLine="0"/>
        <w:rPr>
          <w:color w:val="000000"/>
        </w:rPr>
      </w:pPr>
      <w:r>
        <w:rPr>
          <w:color w:val="000000"/>
        </w:rPr>
        <w:lastRenderedPageBreak/>
        <w:t>Explanation: For the determination of capacity of petroleum and petroleum products pipelines, the roughness factor shall be used. For natural gas pipelines, the efficiency factor shall be used.</w:t>
      </w:r>
    </w:p>
    <w:p w14:paraId="406ACE0D" w14:textId="08846DCA" w:rsidR="00EA4471" w:rsidRDefault="00EA4471" w:rsidP="00EA4471">
      <w:pPr>
        <w:pStyle w:val="BodyTextIndent3"/>
        <w:numPr>
          <w:ilvl w:val="3"/>
          <w:numId w:val="5"/>
        </w:numPr>
        <w:spacing w:before="240" w:line="240" w:lineRule="auto"/>
        <w:ind w:left="1701" w:hanging="425"/>
        <w:rPr>
          <w:color w:val="000000"/>
        </w:rPr>
      </w:pPr>
      <w:r>
        <w:rPr>
          <w:b/>
          <w:color w:val="000000"/>
        </w:rPr>
        <w:t>Velocity</w:t>
      </w:r>
      <w:r>
        <w:rPr>
          <w:color w:val="000000"/>
        </w:rPr>
        <w:t xml:space="preserve"> – The maximum allowable velocity of natural gas or petroleum product in the pipeline shall be 20 m/sec in case of natural gas pipeline and </w:t>
      </w:r>
      <w:r w:rsidR="00885A78">
        <w:rPr>
          <w:rStyle w:val="FootnoteReference"/>
          <w:color w:val="000000"/>
        </w:rPr>
        <w:footnoteReference w:id="5"/>
      </w:r>
      <w:r w:rsidR="00885A78">
        <w:rPr>
          <w:color w:val="000000"/>
        </w:rPr>
        <w:t>[</w:t>
      </w:r>
      <w:r w:rsidR="00885A78">
        <w:t>3 m/sec</w:t>
      </w:r>
      <w:r w:rsidR="00885A78">
        <w:rPr>
          <w:color w:val="000000"/>
        </w:rPr>
        <w:t>]</w:t>
      </w:r>
      <w:r>
        <w:rPr>
          <w:color w:val="000000"/>
        </w:rPr>
        <w:t xml:space="preserve"> in case of petroleum product pipelines or as per relevant regulations on Technical Standards and Specifications including Safety Standards whichever is lower, if specified.</w:t>
      </w:r>
    </w:p>
    <w:p w14:paraId="5C6FA1D0" w14:textId="3A85F4FD" w:rsidR="00EA4471" w:rsidRDefault="00EA4471" w:rsidP="00EA4471">
      <w:pPr>
        <w:pStyle w:val="BodyTextIndent3"/>
        <w:numPr>
          <w:ilvl w:val="3"/>
          <w:numId w:val="5"/>
        </w:numPr>
        <w:spacing w:before="240" w:line="240" w:lineRule="auto"/>
        <w:ind w:left="1701" w:hanging="425"/>
        <w:rPr>
          <w:color w:val="000000"/>
        </w:rPr>
      </w:pPr>
      <w:r>
        <w:rPr>
          <w:b/>
          <w:color w:val="000000"/>
        </w:rPr>
        <w:t>STP</w:t>
      </w:r>
      <w:r>
        <w:rPr>
          <w:color w:val="000000"/>
        </w:rPr>
        <w:t xml:space="preserve"> – </w:t>
      </w:r>
      <w:r w:rsidR="002F7073">
        <w:rPr>
          <w:rStyle w:val="FootnoteReference"/>
          <w:color w:val="000000"/>
        </w:rPr>
        <w:footnoteReference w:id="6"/>
      </w:r>
      <w:r w:rsidR="002F7073">
        <w:rPr>
          <w:color w:val="000000"/>
        </w:rPr>
        <w:t>[</w:t>
      </w:r>
      <w:r w:rsidR="00C413C9">
        <w:rPr>
          <w:color w:val="000000"/>
        </w:rPr>
        <w:t>****</w:t>
      </w:r>
      <w:r w:rsidR="002F7073">
        <w:rPr>
          <w:color w:val="000000"/>
        </w:rPr>
        <w:t>]</w:t>
      </w:r>
      <w:r>
        <w:rPr>
          <w:color w:val="000000"/>
        </w:rPr>
        <w:t xml:space="preserve">: </w:t>
      </w:r>
    </w:p>
    <w:p w14:paraId="419F8147" w14:textId="77777777" w:rsidR="00EA4471" w:rsidRDefault="00EA4471" w:rsidP="00EA4471">
      <w:pPr>
        <w:pStyle w:val="BodyTextIndent3"/>
        <w:spacing w:line="240" w:lineRule="auto"/>
        <w:ind w:left="450" w:firstLine="0"/>
        <w:rPr>
          <w:color w:val="000000"/>
        </w:rPr>
      </w:pPr>
    </w:p>
    <w:p w14:paraId="1F2F5D08" w14:textId="77777777" w:rsidR="00EA4471" w:rsidRDefault="00EA4471" w:rsidP="00EA4471">
      <w:pPr>
        <w:pStyle w:val="ListParagraph"/>
        <w:spacing w:after="200"/>
        <w:ind w:left="1800" w:firstLine="360"/>
        <w:contextualSpacing/>
        <w:jc w:val="both"/>
        <w:rPr>
          <w:color w:val="000000"/>
        </w:rPr>
      </w:pPr>
      <w:r>
        <w:rPr>
          <w:color w:val="000000"/>
        </w:rPr>
        <w:t xml:space="preserve">Standard pressure </w:t>
      </w:r>
      <w:r>
        <w:rPr>
          <w:color w:val="000000"/>
        </w:rPr>
        <w:tab/>
      </w:r>
      <w:r>
        <w:rPr>
          <w:color w:val="000000"/>
        </w:rPr>
        <w:tab/>
        <w:t>:</w:t>
      </w:r>
      <w:r>
        <w:rPr>
          <w:color w:val="000000"/>
        </w:rPr>
        <w:tab/>
        <w:t xml:space="preserve"> 1.01325 bar.</w:t>
      </w:r>
    </w:p>
    <w:p w14:paraId="7710C662" w14:textId="4E8944A1" w:rsidR="00EA4471" w:rsidRDefault="00EA4471" w:rsidP="00EA4471">
      <w:pPr>
        <w:pStyle w:val="ListParagraph"/>
        <w:spacing w:after="200"/>
        <w:ind w:left="1440" w:firstLine="720"/>
        <w:contextualSpacing/>
        <w:jc w:val="both"/>
        <w:rPr>
          <w:color w:val="000000"/>
        </w:rPr>
      </w:pPr>
      <w:r>
        <w:rPr>
          <w:color w:val="000000"/>
        </w:rPr>
        <w:t xml:space="preserve">Standard temperature </w:t>
      </w:r>
      <w:r>
        <w:rPr>
          <w:color w:val="000000"/>
        </w:rPr>
        <w:tab/>
      </w:r>
      <w:r>
        <w:rPr>
          <w:color w:val="000000"/>
        </w:rPr>
        <w:tab/>
        <w:t>:</w:t>
      </w:r>
      <w:r>
        <w:rPr>
          <w:color w:val="000000"/>
        </w:rPr>
        <w:tab/>
        <w:t xml:space="preserve"> 15 </w:t>
      </w:r>
      <w:r>
        <w:rPr>
          <w:color w:val="000000"/>
          <w:vertAlign w:val="superscript"/>
        </w:rPr>
        <w:t>0</w:t>
      </w:r>
      <w:r>
        <w:rPr>
          <w:color w:val="000000"/>
        </w:rPr>
        <w:t xml:space="preserve">C </w:t>
      </w:r>
    </w:p>
    <w:p w14:paraId="031ABE4B" w14:textId="65930D2A" w:rsidR="002F7073" w:rsidRPr="00C413C9" w:rsidRDefault="002F7073" w:rsidP="00C413C9">
      <w:pPr>
        <w:pStyle w:val="BodyTextIndent3"/>
        <w:numPr>
          <w:ilvl w:val="3"/>
          <w:numId w:val="5"/>
        </w:numPr>
        <w:spacing w:before="240" w:line="240" w:lineRule="auto"/>
        <w:ind w:left="1701" w:hanging="425"/>
        <w:rPr>
          <w:color w:val="000000"/>
        </w:rPr>
      </w:pPr>
      <w:r>
        <w:rPr>
          <w:rStyle w:val="FootnoteReference"/>
          <w:color w:val="000000"/>
        </w:rPr>
        <w:footnoteReference w:id="7"/>
      </w:r>
      <w:r>
        <w:rPr>
          <w:color w:val="000000"/>
        </w:rPr>
        <w:t>[</w:t>
      </w:r>
      <w:r w:rsidRPr="002F7073">
        <w:rPr>
          <w:color w:val="000000"/>
        </w:rPr>
        <w:t>(viii) Maximum Allowable Operating Pressure (MAOP) - The pipeline capacity shall be</w:t>
      </w:r>
      <w:r>
        <w:rPr>
          <w:color w:val="000000"/>
        </w:rPr>
        <w:t xml:space="preserve"> </w:t>
      </w:r>
      <w:r w:rsidRPr="00C413C9">
        <w:rPr>
          <w:color w:val="000000"/>
        </w:rPr>
        <w:t>determined at the designed MAOP or de-rated MAOP due to any condition, for the petroleum,</w:t>
      </w:r>
      <w:r>
        <w:rPr>
          <w:color w:val="000000"/>
        </w:rPr>
        <w:t xml:space="preserve"> </w:t>
      </w:r>
      <w:r w:rsidRPr="00C413C9">
        <w:rPr>
          <w:color w:val="000000"/>
        </w:rPr>
        <w:t>petroleum products or natural gas pipelines.]</w:t>
      </w:r>
    </w:p>
    <w:p w14:paraId="59978C92" w14:textId="77777777" w:rsidR="00EA4471" w:rsidRDefault="00EA4471" w:rsidP="00EA4471">
      <w:pPr>
        <w:pStyle w:val="BodyTextIndent3"/>
        <w:numPr>
          <w:ilvl w:val="0"/>
          <w:numId w:val="11"/>
        </w:numPr>
        <w:spacing w:before="240" w:line="240" w:lineRule="auto"/>
        <w:ind w:left="1560"/>
        <w:rPr>
          <w:b/>
          <w:bCs/>
          <w:color w:val="000000"/>
        </w:rPr>
      </w:pPr>
      <w:r>
        <w:rPr>
          <w:b/>
          <w:bCs/>
          <w:color w:val="000000"/>
        </w:rPr>
        <w:t>Variable parameters-</w:t>
      </w:r>
    </w:p>
    <w:p w14:paraId="25F89754" w14:textId="77777777" w:rsidR="00EA4471" w:rsidRDefault="00EA4471" w:rsidP="00EA4471">
      <w:pPr>
        <w:pStyle w:val="BodyTextIndent3"/>
        <w:numPr>
          <w:ilvl w:val="3"/>
          <w:numId w:val="12"/>
        </w:numPr>
        <w:spacing w:before="240" w:after="240" w:line="240" w:lineRule="auto"/>
        <w:ind w:left="1701"/>
        <w:rPr>
          <w:color w:val="000000"/>
        </w:rPr>
      </w:pPr>
      <w:r>
        <w:rPr>
          <w:b/>
          <w:color w:val="000000"/>
        </w:rPr>
        <w:t>Operating temperature</w:t>
      </w:r>
      <w:r>
        <w:rPr>
          <w:color w:val="000000"/>
        </w:rPr>
        <w:t xml:space="preserve"> – This is the actual temperature that a pipe is exposed to throughout the year. This temperature will be considered, for the purpose of determining capacity, as per the table below:</w:t>
      </w:r>
    </w:p>
    <w:tbl>
      <w:tblPr>
        <w:tblStyle w:val="TableGrid"/>
        <w:tblW w:w="0" w:type="auto"/>
        <w:tblInd w:w="1951" w:type="dxa"/>
        <w:tblLook w:val="04A0" w:firstRow="1" w:lastRow="0" w:firstColumn="1" w:lastColumn="0" w:noHBand="0" w:noVBand="1"/>
      </w:tblPr>
      <w:tblGrid>
        <w:gridCol w:w="2866"/>
        <w:gridCol w:w="2001"/>
        <w:gridCol w:w="2198"/>
      </w:tblGrid>
      <w:tr w:rsidR="00EA4471" w14:paraId="4524D736" w14:textId="77777777" w:rsidTr="00EA4471">
        <w:tc>
          <w:tcPr>
            <w:tcW w:w="3119" w:type="dxa"/>
            <w:vMerge w:val="restart"/>
            <w:tcBorders>
              <w:top w:val="single" w:sz="4" w:space="0" w:color="000000"/>
              <w:left w:val="single" w:sz="4" w:space="0" w:color="000000"/>
              <w:bottom w:val="single" w:sz="4" w:space="0" w:color="000000"/>
              <w:right w:val="single" w:sz="4" w:space="0" w:color="000000"/>
            </w:tcBorders>
            <w:hideMark/>
          </w:tcPr>
          <w:p w14:paraId="4CD246A2" w14:textId="77777777" w:rsidR="00EA4471" w:rsidRDefault="00EA4471">
            <w:pPr>
              <w:pStyle w:val="BodyTextIndent3"/>
              <w:spacing w:line="240" w:lineRule="auto"/>
              <w:ind w:left="0" w:firstLine="0"/>
              <w:jc w:val="center"/>
              <w:rPr>
                <w:b/>
                <w:bCs/>
                <w:color w:val="000000"/>
              </w:rPr>
            </w:pPr>
            <w:r>
              <w:rPr>
                <w:b/>
                <w:bCs/>
                <w:color w:val="000000"/>
              </w:rPr>
              <w:t>Country Region</w:t>
            </w:r>
          </w:p>
        </w:tc>
        <w:tc>
          <w:tcPr>
            <w:tcW w:w="4506" w:type="dxa"/>
            <w:gridSpan w:val="2"/>
            <w:tcBorders>
              <w:top w:val="single" w:sz="4" w:space="0" w:color="000000"/>
              <w:left w:val="single" w:sz="4" w:space="0" w:color="000000"/>
              <w:bottom w:val="single" w:sz="4" w:space="0" w:color="000000"/>
              <w:right w:val="single" w:sz="4" w:space="0" w:color="000000"/>
            </w:tcBorders>
            <w:hideMark/>
          </w:tcPr>
          <w:p w14:paraId="39EC9BE1" w14:textId="5DADB58A" w:rsidR="00EA4471" w:rsidRDefault="00EA4471">
            <w:pPr>
              <w:pStyle w:val="BodyTextIndent3"/>
              <w:spacing w:line="240" w:lineRule="auto"/>
              <w:ind w:left="0" w:firstLine="0"/>
              <w:jc w:val="center"/>
              <w:rPr>
                <w:b/>
                <w:bCs/>
                <w:color w:val="000000"/>
              </w:rPr>
            </w:pPr>
            <w:r>
              <w:rPr>
                <w:b/>
                <w:bCs/>
                <w:color w:val="000000"/>
              </w:rPr>
              <w:t>Temperature</w:t>
            </w:r>
            <w:r w:rsidR="00FD5698">
              <w:rPr>
                <w:b/>
                <w:bCs/>
                <w:color w:val="000000"/>
              </w:rPr>
              <w:t xml:space="preserve"> (</w:t>
            </w:r>
            <w:proofErr w:type="spellStart"/>
            <w:r w:rsidR="00FD5698" w:rsidRPr="00FD5698">
              <w:rPr>
                <w:b/>
                <w:bCs/>
                <w:color w:val="000000"/>
                <w:vertAlign w:val="superscript"/>
              </w:rPr>
              <w:t>o</w:t>
            </w:r>
            <w:r w:rsidR="00FD5698">
              <w:rPr>
                <w:b/>
                <w:bCs/>
                <w:color w:val="000000"/>
              </w:rPr>
              <w:t>C</w:t>
            </w:r>
            <w:proofErr w:type="spellEnd"/>
            <w:r w:rsidR="00FD5698">
              <w:rPr>
                <w:b/>
                <w:bCs/>
                <w:color w:val="000000"/>
              </w:rPr>
              <w:t>)</w:t>
            </w:r>
          </w:p>
        </w:tc>
      </w:tr>
      <w:tr w:rsidR="00EA4471" w14:paraId="69C20A79" w14:textId="77777777" w:rsidTr="00EA4471">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1610F9B" w14:textId="77777777" w:rsidR="00EA4471" w:rsidRDefault="00EA4471">
            <w:pPr>
              <w:rPr>
                <w:b/>
                <w:bCs/>
                <w:color w:val="000000"/>
                <w:lang w:eastAsia="en-US"/>
              </w:rPr>
            </w:pPr>
          </w:p>
        </w:tc>
        <w:tc>
          <w:tcPr>
            <w:tcW w:w="2151" w:type="dxa"/>
            <w:tcBorders>
              <w:top w:val="single" w:sz="4" w:space="0" w:color="000000"/>
              <w:left w:val="single" w:sz="4" w:space="0" w:color="000000"/>
              <w:bottom w:val="single" w:sz="4" w:space="0" w:color="000000"/>
              <w:right w:val="single" w:sz="4" w:space="0" w:color="000000"/>
            </w:tcBorders>
            <w:hideMark/>
          </w:tcPr>
          <w:p w14:paraId="73A070BE" w14:textId="77777777" w:rsidR="00EA4471" w:rsidRDefault="00EA4471">
            <w:pPr>
              <w:pStyle w:val="BodyTextIndent3"/>
              <w:spacing w:line="240" w:lineRule="auto"/>
              <w:ind w:left="0" w:firstLine="0"/>
              <w:jc w:val="center"/>
              <w:rPr>
                <w:b/>
                <w:bCs/>
                <w:color w:val="000000"/>
              </w:rPr>
            </w:pPr>
            <w:r>
              <w:rPr>
                <w:b/>
                <w:bCs/>
                <w:color w:val="000000"/>
              </w:rPr>
              <w:t>Winter</w:t>
            </w:r>
          </w:p>
        </w:tc>
        <w:tc>
          <w:tcPr>
            <w:tcW w:w="2355" w:type="dxa"/>
            <w:tcBorders>
              <w:top w:val="single" w:sz="4" w:space="0" w:color="000000"/>
              <w:left w:val="single" w:sz="4" w:space="0" w:color="000000"/>
              <w:bottom w:val="single" w:sz="4" w:space="0" w:color="000000"/>
              <w:right w:val="single" w:sz="4" w:space="0" w:color="000000"/>
            </w:tcBorders>
            <w:hideMark/>
          </w:tcPr>
          <w:p w14:paraId="6D121524" w14:textId="77777777" w:rsidR="00EA4471" w:rsidRDefault="00EA4471">
            <w:pPr>
              <w:pStyle w:val="BodyTextIndent3"/>
              <w:spacing w:line="240" w:lineRule="auto"/>
              <w:ind w:left="0" w:firstLine="0"/>
              <w:jc w:val="center"/>
              <w:rPr>
                <w:b/>
                <w:bCs/>
                <w:color w:val="000000"/>
              </w:rPr>
            </w:pPr>
            <w:r>
              <w:rPr>
                <w:b/>
                <w:bCs/>
                <w:color w:val="000000"/>
              </w:rPr>
              <w:t>Summer</w:t>
            </w:r>
          </w:p>
        </w:tc>
      </w:tr>
      <w:tr w:rsidR="00EA4471" w14:paraId="2BBDD459" w14:textId="77777777" w:rsidTr="00EA4471">
        <w:tc>
          <w:tcPr>
            <w:tcW w:w="3119" w:type="dxa"/>
            <w:tcBorders>
              <w:top w:val="single" w:sz="4" w:space="0" w:color="000000"/>
              <w:left w:val="single" w:sz="4" w:space="0" w:color="000000"/>
              <w:bottom w:val="single" w:sz="4" w:space="0" w:color="000000"/>
              <w:right w:val="single" w:sz="4" w:space="0" w:color="000000"/>
            </w:tcBorders>
            <w:hideMark/>
          </w:tcPr>
          <w:p w14:paraId="5418C2A9" w14:textId="77777777" w:rsidR="00EA4471" w:rsidRDefault="00EA4471">
            <w:pPr>
              <w:pStyle w:val="BodyTextIndent3"/>
              <w:spacing w:line="240" w:lineRule="auto"/>
              <w:ind w:left="0" w:firstLine="0"/>
              <w:jc w:val="center"/>
              <w:rPr>
                <w:color w:val="000000"/>
              </w:rPr>
            </w:pPr>
            <w:r>
              <w:rPr>
                <w:color w:val="000000"/>
              </w:rPr>
              <w:t>Tropical area such as North and North West India</w:t>
            </w:r>
          </w:p>
        </w:tc>
        <w:tc>
          <w:tcPr>
            <w:tcW w:w="2151" w:type="dxa"/>
            <w:tcBorders>
              <w:top w:val="single" w:sz="4" w:space="0" w:color="000000"/>
              <w:left w:val="single" w:sz="4" w:space="0" w:color="000000"/>
              <w:bottom w:val="single" w:sz="4" w:space="0" w:color="000000"/>
              <w:right w:val="single" w:sz="4" w:space="0" w:color="000000"/>
            </w:tcBorders>
            <w:hideMark/>
          </w:tcPr>
          <w:p w14:paraId="54F0AD27" w14:textId="77777777" w:rsidR="00EA4471" w:rsidRDefault="00EA4471">
            <w:pPr>
              <w:pStyle w:val="BodyTextIndent3"/>
              <w:spacing w:line="240" w:lineRule="auto"/>
              <w:ind w:left="0" w:firstLine="0"/>
              <w:jc w:val="center"/>
              <w:rPr>
                <w:color w:val="000000"/>
              </w:rPr>
            </w:pPr>
            <w:r>
              <w:rPr>
                <w:color w:val="000000"/>
              </w:rPr>
              <w:t>20</w:t>
            </w:r>
          </w:p>
        </w:tc>
        <w:tc>
          <w:tcPr>
            <w:tcW w:w="2355" w:type="dxa"/>
            <w:tcBorders>
              <w:top w:val="single" w:sz="4" w:space="0" w:color="000000"/>
              <w:left w:val="single" w:sz="4" w:space="0" w:color="000000"/>
              <w:bottom w:val="single" w:sz="4" w:space="0" w:color="000000"/>
              <w:right w:val="single" w:sz="4" w:space="0" w:color="000000"/>
            </w:tcBorders>
            <w:hideMark/>
          </w:tcPr>
          <w:p w14:paraId="302F9041" w14:textId="77777777" w:rsidR="00EA4471" w:rsidRDefault="00EA4471">
            <w:pPr>
              <w:pStyle w:val="BodyTextIndent3"/>
              <w:spacing w:line="240" w:lineRule="auto"/>
              <w:ind w:left="0" w:firstLine="0"/>
              <w:jc w:val="center"/>
              <w:rPr>
                <w:color w:val="000000"/>
              </w:rPr>
            </w:pPr>
            <w:r>
              <w:rPr>
                <w:color w:val="000000"/>
              </w:rPr>
              <w:t>30</w:t>
            </w:r>
          </w:p>
        </w:tc>
      </w:tr>
      <w:tr w:rsidR="00EA4471" w14:paraId="2CC76962" w14:textId="77777777" w:rsidTr="00EA4471">
        <w:tc>
          <w:tcPr>
            <w:tcW w:w="3119" w:type="dxa"/>
            <w:tcBorders>
              <w:top w:val="single" w:sz="4" w:space="0" w:color="000000"/>
              <w:left w:val="single" w:sz="4" w:space="0" w:color="000000"/>
              <w:bottom w:val="single" w:sz="4" w:space="0" w:color="000000"/>
              <w:right w:val="single" w:sz="4" w:space="0" w:color="000000"/>
            </w:tcBorders>
            <w:hideMark/>
          </w:tcPr>
          <w:p w14:paraId="2C881FCB" w14:textId="77777777" w:rsidR="00EA4471" w:rsidRDefault="00EA4471">
            <w:pPr>
              <w:pStyle w:val="BodyTextIndent3"/>
              <w:spacing w:line="240" w:lineRule="auto"/>
              <w:ind w:left="0" w:firstLine="0"/>
              <w:jc w:val="center"/>
              <w:rPr>
                <w:color w:val="000000"/>
              </w:rPr>
            </w:pPr>
            <w:r>
              <w:rPr>
                <w:color w:val="000000"/>
              </w:rPr>
              <w:t>Rest of India</w:t>
            </w:r>
          </w:p>
        </w:tc>
        <w:tc>
          <w:tcPr>
            <w:tcW w:w="2151" w:type="dxa"/>
            <w:tcBorders>
              <w:top w:val="single" w:sz="4" w:space="0" w:color="000000"/>
              <w:left w:val="single" w:sz="4" w:space="0" w:color="000000"/>
              <w:bottom w:val="single" w:sz="4" w:space="0" w:color="000000"/>
              <w:right w:val="single" w:sz="4" w:space="0" w:color="000000"/>
            </w:tcBorders>
            <w:hideMark/>
          </w:tcPr>
          <w:p w14:paraId="7D3870D4" w14:textId="77777777" w:rsidR="00EA4471" w:rsidRDefault="00EA4471">
            <w:pPr>
              <w:pStyle w:val="BodyTextIndent3"/>
              <w:spacing w:line="240" w:lineRule="auto"/>
              <w:ind w:left="0" w:firstLine="0"/>
              <w:jc w:val="center"/>
              <w:rPr>
                <w:color w:val="000000"/>
              </w:rPr>
            </w:pPr>
            <w:r>
              <w:rPr>
                <w:color w:val="000000"/>
              </w:rPr>
              <w:t>30</w:t>
            </w:r>
          </w:p>
        </w:tc>
        <w:tc>
          <w:tcPr>
            <w:tcW w:w="2355" w:type="dxa"/>
            <w:tcBorders>
              <w:top w:val="single" w:sz="4" w:space="0" w:color="000000"/>
              <w:left w:val="single" w:sz="4" w:space="0" w:color="000000"/>
              <w:bottom w:val="single" w:sz="4" w:space="0" w:color="000000"/>
              <w:right w:val="single" w:sz="4" w:space="0" w:color="000000"/>
            </w:tcBorders>
            <w:hideMark/>
          </w:tcPr>
          <w:p w14:paraId="794D7D28" w14:textId="77777777" w:rsidR="00EA4471" w:rsidRDefault="00EA4471">
            <w:pPr>
              <w:pStyle w:val="BodyTextIndent3"/>
              <w:spacing w:line="240" w:lineRule="auto"/>
              <w:ind w:left="0" w:firstLine="0"/>
              <w:jc w:val="center"/>
              <w:rPr>
                <w:color w:val="000000"/>
              </w:rPr>
            </w:pPr>
            <w:r>
              <w:rPr>
                <w:color w:val="000000"/>
              </w:rPr>
              <w:t>30</w:t>
            </w:r>
          </w:p>
        </w:tc>
      </w:tr>
    </w:tbl>
    <w:p w14:paraId="7922A632" w14:textId="77777777" w:rsidR="00EA4471" w:rsidRDefault="00EA4471" w:rsidP="00EA4471">
      <w:pPr>
        <w:pStyle w:val="BodyTextIndent3"/>
        <w:spacing w:line="240" w:lineRule="auto"/>
        <w:ind w:left="1701" w:firstLine="0"/>
        <w:rPr>
          <w:color w:val="000000"/>
        </w:rPr>
      </w:pPr>
    </w:p>
    <w:p w14:paraId="414EC4F3" w14:textId="77777777" w:rsidR="00EA4471" w:rsidRDefault="00EA4471" w:rsidP="00EA4471">
      <w:pPr>
        <w:pStyle w:val="BodyTextIndent3"/>
        <w:numPr>
          <w:ilvl w:val="3"/>
          <w:numId w:val="12"/>
        </w:numPr>
        <w:spacing w:before="240" w:line="240" w:lineRule="auto"/>
        <w:ind w:left="1843"/>
        <w:rPr>
          <w:color w:val="000000"/>
        </w:rPr>
      </w:pPr>
      <w:r>
        <w:rPr>
          <w:b/>
          <w:color w:val="000000"/>
        </w:rPr>
        <w:t>Inlet temperature</w:t>
      </w:r>
      <w:r>
        <w:rPr>
          <w:color w:val="000000"/>
        </w:rPr>
        <w:t xml:space="preserve"> – This is the inlet temperature of the </w:t>
      </w:r>
      <w:bookmarkStart w:id="6" w:name="OLE_LINK2"/>
      <w:bookmarkStart w:id="7" w:name="OLE_LINK1"/>
      <w:r>
        <w:rPr>
          <w:color w:val="000000"/>
        </w:rPr>
        <w:t xml:space="preserve">petroleum, petroleum products and natural gas </w:t>
      </w:r>
      <w:bookmarkEnd w:id="6"/>
      <w:bookmarkEnd w:id="7"/>
      <w:r>
        <w:rPr>
          <w:color w:val="000000"/>
        </w:rPr>
        <w:t>from the source into the pipeline.</w:t>
      </w:r>
    </w:p>
    <w:p w14:paraId="05E670A1" w14:textId="77777777" w:rsidR="00EA4471" w:rsidRDefault="00EA4471" w:rsidP="00EA4471">
      <w:pPr>
        <w:pStyle w:val="BodyTextIndent3"/>
        <w:numPr>
          <w:ilvl w:val="3"/>
          <w:numId w:val="12"/>
        </w:numPr>
        <w:spacing w:before="240" w:line="240" w:lineRule="auto"/>
        <w:ind w:left="1843"/>
        <w:rPr>
          <w:color w:val="000000"/>
        </w:rPr>
      </w:pPr>
      <w:r>
        <w:rPr>
          <w:b/>
          <w:color w:val="000000"/>
        </w:rPr>
        <w:t>Outlet temperature</w:t>
      </w:r>
      <w:r>
        <w:rPr>
          <w:color w:val="000000"/>
        </w:rPr>
        <w:t xml:space="preserve"> – This is the outlet temperature of the petroleum, petroleum products and natural gas at the delivery point. </w:t>
      </w:r>
    </w:p>
    <w:p w14:paraId="747B7580" w14:textId="77777777" w:rsidR="00EA4471" w:rsidRDefault="00EA4471" w:rsidP="00EA4471">
      <w:pPr>
        <w:pStyle w:val="BodyTextIndent3"/>
        <w:numPr>
          <w:ilvl w:val="3"/>
          <w:numId w:val="12"/>
        </w:numPr>
        <w:spacing w:before="240" w:line="240" w:lineRule="auto"/>
        <w:ind w:left="1843"/>
        <w:rPr>
          <w:color w:val="000000"/>
        </w:rPr>
      </w:pPr>
      <w:r>
        <w:rPr>
          <w:b/>
          <w:color w:val="000000"/>
        </w:rPr>
        <w:t>Inlet pressure</w:t>
      </w:r>
      <w:r>
        <w:rPr>
          <w:color w:val="000000"/>
        </w:rPr>
        <w:t xml:space="preserve"> – The maximum pressure that is available at the entry point to the pipeline system.</w:t>
      </w:r>
    </w:p>
    <w:p w14:paraId="3F57A55D" w14:textId="77777777" w:rsidR="00EA4471" w:rsidRDefault="00EA4471" w:rsidP="00EA4471">
      <w:pPr>
        <w:pStyle w:val="BodyTextIndent3"/>
        <w:numPr>
          <w:ilvl w:val="3"/>
          <w:numId w:val="12"/>
        </w:numPr>
        <w:spacing w:before="240" w:line="240" w:lineRule="auto"/>
        <w:ind w:left="1843"/>
        <w:rPr>
          <w:color w:val="000000"/>
        </w:rPr>
      </w:pPr>
      <w:r>
        <w:rPr>
          <w:b/>
          <w:color w:val="000000"/>
        </w:rPr>
        <w:lastRenderedPageBreak/>
        <w:t>Outlet pressure</w:t>
      </w:r>
      <w:r>
        <w:rPr>
          <w:color w:val="000000"/>
        </w:rPr>
        <w:t xml:space="preserve"> – The minimum pressure that is required by the customer at the delivery or exit point as per access arrangement entered into by the shipper and the transporter.</w:t>
      </w:r>
    </w:p>
    <w:p w14:paraId="206FAFFD" w14:textId="77777777" w:rsidR="00EA4471" w:rsidRDefault="00EA4471" w:rsidP="00EA4471">
      <w:pPr>
        <w:pStyle w:val="BodyTextIndent3"/>
        <w:numPr>
          <w:ilvl w:val="3"/>
          <w:numId w:val="12"/>
        </w:numPr>
        <w:spacing w:before="240" w:line="240" w:lineRule="auto"/>
        <w:ind w:left="1843"/>
        <w:rPr>
          <w:color w:val="000000"/>
        </w:rPr>
      </w:pPr>
      <w:r>
        <w:rPr>
          <w:b/>
          <w:color w:val="000000"/>
        </w:rPr>
        <w:t>Source Supply flow</w:t>
      </w:r>
      <w:r>
        <w:rPr>
          <w:color w:val="000000"/>
        </w:rPr>
        <w:t xml:space="preserve"> - This is the maximum flow that can be available from the source.</w:t>
      </w:r>
    </w:p>
    <w:p w14:paraId="77BF3028" w14:textId="77777777" w:rsidR="00EA4471" w:rsidRDefault="00EA4471" w:rsidP="00EA4471">
      <w:pPr>
        <w:pStyle w:val="BodyTextIndent3"/>
        <w:numPr>
          <w:ilvl w:val="3"/>
          <w:numId w:val="12"/>
        </w:numPr>
        <w:spacing w:before="240" w:line="240" w:lineRule="auto"/>
        <w:ind w:left="1843" w:hanging="425"/>
        <w:rPr>
          <w:color w:val="000000"/>
        </w:rPr>
      </w:pPr>
      <w:r>
        <w:rPr>
          <w:b/>
          <w:color w:val="000000"/>
        </w:rPr>
        <w:t>Delivery flow</w:t>
      </w:r>
      <w:r>
        <w:rPr>
          <w:color w:val="000000"/>
        </w:rPr>
        <w:t xml:space="preserve"> – This is the maximum flow that is required by the customer at the exit point as per access arrangement entered into by the shipper and the transporter.</w:t>
      </w:r>
    </w:p>
    <w:p w14:paraId="7CA77805" w14:textId="77777777" w:rsidR="00EA4471" w:rsidRDefault="00EA4471" w:rsidP="00EA4471">
      <w:pPr>
        <w:pStyle w:val="BodyTextIndent3"/>
        <w:numPr>
          <w:ilvl w:val="3"/>
          <w:numId w:val="12"/>
        </w:numPr>
        <w:spacing w:before="240" w:line="240" w:lineRule="auto"/>
        <w:ind w:left="1843" w:hanging="567"/>
        <w:rPr>
          <w:color w:val="000000"/>
        </w:rPr>
      </w:pPr>
      <w:r>
        <w:rPr>
          <w:b/>
          <w:color w:val="000000"/>
        </w:rPr>
        <w:t>Elevation difference</w:t>
      </w:r>
      <w:r>
        <w:rPr>
          <w:color w:val="000000"/>
        </w:rPr>
        <w:t xml:space="preserve"> – Depending on the terrain of the ground profile, this factor will be considered from the mean sea level of the area.</w:t>
      </w:r>
    </w:p>
    <w:p w14:paraId="3FB46402" w14:textId="16ED57D7" w:rsidR="00EA4471" w:rsidRDefault="00EA4471" w:rsidP="00EA4471">
      <w:pPr>
        <w:pStyle w:val="BodyTextIndent3"/>
        <w:numPr>
          <w:ilvl w:val="3"/>
          <w:numId w:val="12"/>
        </w:numPr>
        <w:spacing w:before="240" w:line="240" w:lineRule="auto"/>
        <w:ind w:left="1843"/>
        <w:rPr>
          <w:color w:val="000000"/>
        </w:rPr>
      </w:pPr>
      <w:r>
        <w:rPr>
          <w:b/>
          <w:color w:val="000000"/>
        </w:rPr>
        <w:t>Gas composition</w:t>
      </w:r>
      <w:r>
        <w:rPr>
          <w:color w:val="000000"/>
        </w:rPr>
        <w:t xml:space="preserve"> – The gas composition indicating all components totaling 100% by volume is to be given with the level of impurities as per Schedule II of </w:t>
      </w:r>
      <w:r>
        <w:rPr>
          <w:bCs/>
          <w:color w:val="000000"/>
        </w:rPr>
        <w:t xml:space="preserve">the Petroleum and Natural Gas Regulatory Board (Access Code for common or contract carrier Natural Gas Pipelines) Regulations, </w:t>
      </w:r>
      <w:r w:rsidR="00B04124">
        <w:rPr>
          <w:rStyle w:val="FootnoteReference"/>
          <w:bCs/>
          <w:color w:val="000000"/>
        </w:rPr>
        <w:footnoteReference w:id="8"/>
      </w:r>
      <w:r w:rsidR="002F7073">
        <w:rPr>
          <w:bCs/>
          <w:color w:val="000000"/>
        </w:rPr>
        <w:t>[2008]</w:t>
      </w:r>
      <w:r>
        <w:rPr>
          <w:bCs/>
          <w:color w:val="000000"/>
        </w:rPr>
        <w:t>. From this, necessary input to the flow equation shall be worked out.</w:t>
      </w:r>
    </w:p>
    <w:p w14:paraId="066D74E0" w14:textId="26CC7384" w:rsidR="00EA4471" w:rsidRDefault="00EA4471" w:rsidP="00EA4471">
      <w:pPr>
        <w:pStyle w:val="BodyTextIndent3"/>
        <w:spacing w:before="240" w:line="240" w:lineRule="auto"/>
        <w:ind w:left="1843" w:firstLine="0"/>
        <w:rPr>
          <w:color w:val="000000"/>
        </w:rPr>
      </w:pPr>
      <w:r>
        <w:rPr>
          <w:color w:val="000000"/>
        </w:rPr>
        <w:t xml:space="preserve">In case of more than one source, the weighted average composition of comingled natural gas beyond the second source of entry point shall be considered. Notwithstanding interdependency of various parameters, the gas parameters as described in Schedule II of regulations of Access Code shall be declared </w:t>
      </w:r>
      <w:proofErr w:type="spellStart"/>
      <w:r>
        <w:rPr>
          <w:color w:val="000000"/>
        </w:rPr>
        <w:t>before hand</w:t>
      </w:r>
      <w:proofErr w:type="spellEnd"/>
      <w:r>
        <w:rPr>
          <w:color w:val="000000"/>
        </w:rPr>
        <w:t xml:space="preserve"> with reference to gas properties.</w:t>
      </w:r>
    </w:p>
    <w:p w14:paraId="0C7865CC" w14:textId="0EA77BB1" w:rsidR="00B04124" w:rsidRDefault="00B04124" w:rsidP="00EA4471">
      <w:pPr>
        <w:pStyle w:val="BodyTextIndent3"/>
        <w:spacing w:before="240" w:line="240" w:lineRule="auto"/>
        <w:ind w:left="1843" w:firstLine="0"/>
        <w:rPr>
          <w:color w:val="000000"/>
        </w:rPr>
      </w:pPr>
      <w:r>
        <w:rPr>
          <w:rStyle w:val="FootnoteReference"/>
          <w:color w:val="000000"/>
        </w:rPr>
        <w:footnoteReference w:id="9"/>
      </w:r>
      <w:r>
        <w:rPr>
          <w:color w:val="000000"/>
        </w:rPr>
        <w:t>[</w:t>
      </w:r>
      <w:r>
        <w:t>“In case of natural gas pipeline, the gas quality at exit point shall be as per the Petroleum and Natural Gas Regulatory Board (Access Code for common or contract carrier Natural Gas Pipelines) Regulations, 2008.”</w:t>
      </w:r>
      <w:r>
        <w:rPr>
          <w:color w:val="000000"/>
        </w:rPr>
        <w:t>]</w:t>
      </w:r>
    </w:p>
    <w:p w14:paraId="3029682D" w14:textId="5384DF73" w:rsidR="00EA4471" w:rsidRDefault="00C24859" w:rsidP="00EA4471">
      <w:pPr>
        <w:pStyle w:val="BodyTextIndent3"/>
        <w:numPr>
          <w:ilvl w:val="3"/>
          <w:numId w:val="12"/>
        </w:numPr>
        <w:spacing w:before="240" w:line="240" w:lineRule="auto"/>
        <w:ind w:left="1843" w:hanging="425"/>
        <w:rPr>
          <w:color w:val="000000"/>
        </w:rPr>
      </w:pPr>
      <w:r>
        <w:rPr>
          <w:rStyle w:val="FootnoteReference"/>
          <w:color w:val="000000"/>
        </w:rPr>
        <w:footnoteReference w:id="10"/>
      </w:r>
      <w:proofErr w:type="gramStart"/>
      <w:r>
        <w:rPr>
          <w:color w:val="000000"/>
        </w:rPr>
        <w:t>[</w:t>
      </w:r>
      <w:r>
        <w:rPr>
          <w:bCs/>
          <w:color w:val="000000"/>
        </w:rPr>
        <w:t>]</w:t>
      </w:r>
      <w:r w:rsidR="00EA4471">
        <w:rPr>
          <w:color w:val="000000"/>
        </w:rPr>
        <w:t>In</w:t>
      </w:r>
      <w:proofErr w:type="gramEnd"/>
      <w:r w:rsidR="00EA4471">
        <w:rPr>
          <w:color w:val="000000"/>
        </w:rPr>
        <w:t xml:space="preserve"> case of petroleum </w:t>
      </w:r>
      <w:r>
        <w:rPr>
          <w:color w:val="000000"/>
        </w:rPr>
        <w:t>products,</w:t>
      </w:r>
      <w:r w:rsidR="00EA4471">
        <w:rPr>
          <w:color w:val="000000"/>
        </w:rPr>
        <w:t xml:space="preserve"> the entry point parameters shall be such that the deliveries of products at delivery point or tap off point or exit points shall be as per the prevalent BIS specifications applicable.</w:t>
      </w:r>
    </w:p>
    <w:p w14:paraId="3F8E6608" w14:textId="77777777" w:rsidR="00EA4471" w:rsidRDefault="00EA4471" w:rsidP="00EA4471">
      <w:pPr>
        <w:pStyle w:val="BodyTextIndent3"/>
        <w:spacing w:line="240" w:lineRule="auto"/>
        <w:ind w:left="450" w:firstLine="0"/>
        <w:rPr>
          <w:color w:val="000000"/>
        </w:rPr>
      </w:pPr>
    </w:p>
    <w:p w14:paraId="54ED1905" w14:textId="04BD29E3" w:rsidR="00EA4471" w:rsidRDefault="00EA4471" w:rsidP="00EA4471">
      <w:pPr>
        <w:pStyle w:val="BodyTextIndent3"/>
        <w:numPr>
          <w:ilvl w:val="0"/>
          <w:numId w:val="10"/>
        </w:numPr>
        <w:spacing w:before="240" w:line="240" w:lineRule="auto"/>
        <w:ind w:left="1276"/>
        <w:rPr>
          <w:bCs/>
          <w:color w:val="000000"/>
        </w:rPr>
      </w:pPr>
      <w:r>
        <w:rPr>
          <w:bCs/>
          <w:color w:val="000000"/>
        </w:rPr>
        <w:t xml:space="preserve">All entities shall declare to the Board the constant parameters and the variable parameters for the </w:t>
      </w:r>
      <w:r w:rsidR="00FE50B4">
        <w:rPr>
          <w:bCs/>
          <w:color w:val="000000"/>
        </w:rPr>
        <w:t>pipeline: -</w:t>
      </w:r>
    </w:p>
    <w:p w14:paraId="26E5C609" w14:textId="09442246" w:rsidR="00EA4471" w:rsidRDefault="00EA4471" w:rsidP="00EA4471">
      <w:pPr>
        <w:pStyle w:val="BodyTextIndent3"/>
        <w:numPr>
          <w:ilvl w:val="0"/>
          <w:numId w:val="13"/>
        </w:numPr>
        <w:spacing w:before="240" w:line="240" w:lineRule="auto"/>
        <w:ind w:left="1560" w:hanging="349"/>
        <w:rPr>
          <w:bCs/>
          <w:color w:val="000000"/>
        </w:rPr>
      </w:pPr>
      <w:r>
        <w:rPr>
          <w:bCs/>
          <w:color w:val="000000"/>
        </w:rPr>
        <w:t xml:space="preserve"> On </w:t>
      </w:r>
      <w:bookmarkStart w:id="9" w:name="OLE_LINK14"/>
      <w:bookmarkStart w:id="10" w:name="OLE_LINK13"/>
      <w:r>
        <w:rPr>
          <w:bCs/>
          <w:color w:val="000000"/>
        </w:rPr>
        <w:t xml:space="preserve">first working day </w:t>
      </w:r>
      <w:bookmarkEnd w:id="9"/>
      <w:bookmarkEnd w:id="10"/>
      <w:r>
        <w:rPr>
          <w:bCs/>
          <w:color w:val="000000"/>
        </w:rPr>
        <w:t xml:space="preserve">of April </w:t>
      </w:r>
      <w:r w:rsidR="00FE50B4">
        <w:rPr>
          <w:rStyle w:val="FootnoteReference"/>
          <w:bCs/>
          <w:color w:val="000000"/>
        </w:rPr>
        <w:footnoteReference w:id="11"/>
      </w:r>
      <w:r w:rsidR="00FE50B4">
        <w:rPr>
          <w:bCs/>
          <w:color w:val="000000"/>
        </w:rPr>
        <w:t>[</w:t>
      </w:r>
      <w:r w:rsidR="00FE50B4">
        <w:t>every year for next financial year.</w:t>
      </w:r>
      <w:r w:rsidR="00FE50B4">
        <w:rPr>
          <w:bCs/>
          <w:color w:val="000000"/>
        </w:rPr>
        <w:t>]</w:t>
      </w:r>
      <w:r>
        <w:rPr>
          <w:bCs/>
          <w:color w:val="000000"/>
        </w:rPr>
        <w:t xml:space="preserve">; or </w:t>
      </w:r>
    </w:p>
    <w:p w14:paraId="57EB0C5A" w14:textId="77777777" w:rsidR="00EA4471" w:rsidRDefault="00EA4471" w:rsidP="00EA4471">
      <w:pPr>
        <w:pStyle w:val="BodyTextIndent3"/>
        <w:numPr>
          <w:ilvl w:val="0"/>
          <w:numId w:val="13"/>
        </w:numPr>
        <w:spacing w:before="240" w:line="240" w:lineRule="auto"/>
        <w:ind w:left="1560" w:hanging="349"/>
        <w:rPr>
          <w:bCs/>
          <w:color w:val="000000"/>
        </w:rPr>
      </w:pPr>
      <w:r>
        <w:rPr>
          <w:bCs/>
          <w:color w:val="000000"/>
        </w:rPr>
        <w:lastRenderedPageBreak/>
        <w:t xml:space="preserve">Whenever there is any addition or deletion of the supply source of </w:t>
      </w:r>
      <w:r>
        <w:rPr>
          <w:color w:val="000000"/>
        </w:rPr>
        <w:t>petroleum, petroleum products or natural gas</w:t>
      </w:r>
      <w:r>
        <w:rPr>
          <w:bCs/>
          <w:color w:val="000000"/>
        </w:rPr>
        <w:t>.</w:t>
      </w:r>
    </w:p>
    <w:p w14:paraId="6F45C4AA" w14:textId="562C4E41" w:rsidR="00EA4471" w:rsidRDefault="00FE50B4" w:rsidP="00EA4471">
      <w:pPr>
        <w:pStyle w:val="BodyTextIndent3"/>
        <w:spacing w:before="240" w:line="240" w:lineRule="auto"/>
        <w:ind w:left="1276" w:firstLine="0"/>
        <w:rPr>
          <w:bCs/>
          <w:color w:val="000000"/>
        </w:rPr>
      </w:pPr>
      <w:r>
        <w:rPr>
          <w:rStyle w:val="FootnoteReference"/>
          <w:bCs/>
          <w:color w:val="000000"/>
        </w:rPr>
        <w:footnoteReference w:id="12"/>
      </w:r>
      <w:r>
        <w:rPr>
          <w:bCs/>
          <w:color w:val="000000"/>
        </w:rPr>
        <w:t>[</w:t>
      </w:r>
      <w:r>
        <w:t>The entities shall also provide on first working day of April every year (for next financial year) the hydraulic gradient and system flow diagram for the pipeline.</w:t>
      </w:r>
    </w:p>
    <w:p w14:paraId="6296A425" w14:textId="77777777" w:rsidR="00EA4471" w:rsidRDefault="00EA4471" w:rsidP="00EA4471">
      <w:pPr>
        <w:pStyle w:val="BodyTextIndent3"/>
        <w:numPr>
          <w:ilvl w:val="0"/>
          <w:numId w:val="10"/>
        </w:numPr>
        <w:spacing w:before="240" w:line="240" w:lineRule="auto"/>
        <w:ind w:left="1134"/>
        <w:rPr>
          <w:bCs/>
          <w:color w:val="000000"/>
        </w:rPr>
      </w:pPr>
      <w:r>
        <w:rPr>
          <w:bCs/>
          <w:color w:val="000000"/>
        </w:rPr>
        <w:t>The methodology for calculation of pipeline capacity shall be as under:</w:t>
      </w:r>
    </w:p>
    <w:p w14:paraId="4823F8FB" w14:textId="77777777" w:rsidR="00EA4471" w:rsidRDefault="00EA4471" w:rsidP="00EA4471">
      <w:pPr>
        <w:pStyle w:val="BodyTextIndent3"/>
        <w:numPr>
          <w:ilvl w:val="0"/>
          <w:numId w:val="14"/>
        </w:numPr>
        <w:spacing w:before="240" w:line="240" w:lineRule="auto"/>
        <w:ind w:left="1418" w:hanging="426"/>
        <w:rPr>
          <w:b/>
          <w:bCs/>
          <w:color w:val="000000"/>
        </w:rPr>
      </w:pPr>
      <w:r>
        <w:rPr>
          <w:b/>
          <w:bCs/>
          <w:color w:val="000000"/>
        </w:rPr>
        <w:t>Natural Gas Pipelines:</w:t>
      </w:r>
    </w:p>
    <w:p w14:paraId="27139159" w14:textId="77777777" w:rsidR="00EA4471" w:rsidRDefault="00EA4471" w:rsidP="00EA4471">
      <w:pPr>
        <w:pStyle w:val="BodyTextIndent3"/>
        <w:numPr>
          <w:ilvl w:val="0"/>
          <w:numId w:val="15"/>
        </w:numPr>
        <w:spacing w:before="240" w:line="240" w:lineRule="auto"/>
        <w:ind w:left="1560"/>
        <w:rPr>
          <w:color w:val="000000"/>
        </w:rPr>
      </w:pPr>
      <w:r>
        <w:rPr>
          <w:color w:val="000000"/>
        </w:rPr>
        <w:t xml:space="preserve">The entire pipeline system shall be configured in the selected software package operating offline. The steady state condition of the pipeline hydraulics with contractual flow parameters (pressure, temperature and flow) at entry and exit points shall be simulated in the selected software package.  </w:t>
      </w:r>
    </w:p>
    <w:p w14:paraId="34BBC6D8" w14:textId="77777777" w:rsidR="00EA4471" w:rsidRDefault="00EA4471" w:rsidP="00EA4471">
      <w:pPr>
        <w:pStyle w:val="BodyTextIndent3"/>
        <w:numPr>
          <w:ilvl w:val="0"/>
          <w:numId w:val="15"/>
        </w:numPr>
        <w:spacing w:before="240" w:line="240" w:lineRule="auto"/>
        <w:ind w:left="1560"/>
        <w:rPr>
          <w:color w:val="000000"/>
        </w:rPr>
      </w:pPr>
      <w:r>
        <w:rPr>
          <w:color w:val="000000"/>
        </w:rPr>
        <w:t>At the originating point and at intermediate points in the direction of flow, set the pressure as a fixed parameter corresponding to the maximum allowable operating pressure (MAOP) or available compression facilities and compute the maximum pressure at all exit points with contractual flow.</w:t>
      </w:r>
    </w:p>
    <w:p w14:paraId="22C81933" w14:textId="77777777" w:rsidR="00EA4471" w:rsidRDefault="00EA4471" w:rsidP="00EA4471">
      <w:pPr>
        <w:pStyle w:val="BodyTextIndent3"/>
        <w:numPr>
          <w:ilvl w:val="0"/>
          <w:numId w:val="15"/>
        </w:numPr>
        <w:spacing w:before="240" w:line="240" w:lineRule="auto"/>
        <w:ind w:left="1560"/>
        <w:rPr>
          <w:color w:val="000000"/>
        </w:rPr>
      </w:pPr>
      <w:r>
        <w:rPr>
          <w:color w:val="000000"/>
        </w:rPr>
        <w:t>Thereafter, assuming gas at the entry point (single source of gas) is unlimited, the selected software will be run till any customer connected to the system reaches limiting condition of pressure required at the respective exit point</w:t>
      </w:r>
      <w:r>
        <w:rPr>
          <w:bCs/>
          <w:color w:val="000000"/>
        </w:rPr>
        <w:t xml:space="preserve"> or maximum flow capacity is reached at entry or intermediate compressor stations (if installed in the system) or the velocity of natural gas reaches limiting value as defined in these regulations</w:t>
      </w:r>
      <w:r>
        <w:rPr>
          <w:color w:val="000000"/>
        </w:rPr>
        <w:t>. The capacity at this juncture would be the maximum system capacity achievable in the pipeline system and the customer at the exit point where pressure becomes limiting shall be the critical customer.</w:t>
      </w:r>
    </w:p>
    <w:p w14:paraId="798CAAA3" w14:textId="77777777" w:rsidR="00FD5698" w:rsidRDefault="00EA4471" w:rsidP="00FD5698">
      <w:pPr>
        <w:numPr>
          <w:ilvl w:val="0"/>
          <w:numId w:val="15"/>
        </w:numPr>
        <w:spacing w:before="240"/>
        <w:ind w:left="1560" w:hanging="426"/>
        <w:jc w:val="both"/>
        <w:rPr>
          <w:color w:val="000000"/>
        </w:rPr>
      </w:pPr>
      <w:r>
        <w:rPr>
          <w:color w:val="000000"/>
        </w:rPr>
        <w:t xml:space="preserve">Now simulate the flow from any other source considering the entry should take place at the pressure marginally higher than the available at that section. The exercise carried above shall be repeated to get threshold pressure limit at any location to calculate the flow exiting from each point in the entire pipeline system and the sum total of these flows shall be the pipeline capacity as determine by the approved flow equation and selected software. This would be the system capacity for </w:t>
      </w:r>
      <w:proofErr w:type="spellStart"/>
      <w:r>
        <w:rPr>
          <w:color w:val="000000"/>
        </w:rPr>
        <w:t>multi source</w:t>
      </w:r>
      <w:proofErr w:type="spellEnd"/>
      <w:r>
        <w:rPr>
          <w:color w:val="000000"/>
        </w:rPr>
        <w:t xml:space="preserve"> pipeline system. </w:t>
      </w:r>
    </w:p>
    <w:p w14:paraId="27119109" w14:textId="37740911" w:rsidR="00EA4471" w:rsidRPr="00FD5698" w:rsidRDefault="00EA4471" w:rsidP="00FD5698">
      <w:pPr>
        <w:numPr>
          <w:ilvl w:val="0"/>
          <w:numId w:val="15"/>
        </w:numPr>
        <w:spacing w:before="240"/>
        <w:ind w:left="1560" w:hanging="426"/>
        <w:jc w:val="both"/>
        <w:rPr>
          <w:color w:val="000000"/>
        </w:rPr>
      </w:pPr>
      <w:r w:rsidRPr="00FD5698">
        <w:rPr>
          <w:color w:val="000000"/>
        </w:rPr>
        <w:t xml:space="preserve">The section wise capacity of the pipeline system shall be computed between an entry point and exit points.  In case of multi entry, the section wise capacity may also be determined taking into account flow from each of the input points.  Thus the first section is from first entry point to first exit point and second section shall be from first entry point to second exit point and another section and so on.  This exercise shall be repeated for each of the entry point. However, in a real time working, the effect of each source will have to be workout on the pipeline capacity and the flow parameters at intermediate points shall not be </w:t>
      </w:r>
      <w:r w:rsidRPr="00FD5698">
        <w:rPr>
          <w:color w:val="000000"/>
        </w:rPr>
        <w:lastRenderedPageBreak/>
        <w:t>allowed to reduce the system or section capacity. The procedure mentioned above shall be applicable for determining the capacity of specific section of the pipeline.</w:t>
      </w:r>
    </w:p>
    <w:p w14:paraId="67F5DFCF" w14:textId="77777777" w:rsidR="00EA4471" w:rsidRDefault="00EA4471" w:rsidP="00EA4471">
      <w:pPr>
        <w:numPr>
          <w:ilvl w:val="0"/>
          <w:numId w:val="15"/>
        </w:numPr>
        <w:spacing w:before="240"/>
        <w:ind w:left="1560" w:hanging="426"/>
        <w:jc w:val="both"/>
        <w:rPr>
          <w:color w:val="000000"/>
        </w:rPr>
      </w:pPr>
      <w:r>
        <w:rPr>
          <w:color w:val="000000"/>
        </w:rPr>
        <w:t xml:space="preserve">In a real </w:t>
      </w:r>
      <w:proofErr w:type="gramStart"/>
      <w:r>
        <w:rPr>
          <w:color w:val="000000"/>
        </w:rPr>
        <w:t>time</w:t>
      </w:r>
      <w:proofErr w:type="gramEnd"/>
      <w:r>
        <w:rPr>
          <w:color w:val="000000"/>
        </w:rPr>
        <w:t xml:space="preserve"> model of pipeline system, the flow at specific entry point shall be the actual available flow from that source.  The gas supply from various sources at entry points and delivery at exit points shall be scheduled to optimize the pipeline system capacity.</w:t>
      </w:r>
    </w:p>
    <w:p w14:paraId="5E97E45C" w14:textId="77777777" w:rsidR="00EA4471" w:rsidRDefault="00EA4471" w:rsidP="00EA4471">
      <w:pPr>
        <w:pStyle w:val="BodyTextIndent3"/>
        <w:numPr>
          <w:ilvl w:val="0"/>
          <w:numId w:val="15"/>
        </w:numPr>
        <w:spacing w:before="240" w:line="240" w:lineRule="auto"/>
        <w:ind w:left="1560" w:hanging="426"/>
        <w:rPr>
          <w:color w:val="000000"/>
        </w:rPr>
      </w:pPr>
      <w:r>
        <w:rPr>
          <w:color w:val="000000"/>
        </w:rPr>
        <w:t>The obligatory or contractual requirement of pressure at any exit point shall determine the possible capacity within a particular section serving that exit points. Provided further that maintainability of a particular steady state hydraulics condition at any exit point shall be mutually determined between capacity determining authority and the transporter within the flexibility available in the system. The section wise capacity thus calculated with single or multiple entry and exit points shall be run with the approved flow equation and selected software package offline in the steady state operation of the system to arrive at capacities of various sections.</w:t>
      </w:r>
    </w:p>
    <w:p w14:paraId="0420874D" w14:textId="77777777" w:rsidR="00EA4471" w:rsidRDefault="00EA4471" w:rsidP="00EA4471">
      <w:pPr>
        <w:pStyle w:val="BodyTextIndent3"/>
        <w:numPr>
          <w:ilvl w:val="0"/>
          <w:numId w:val="15"/>
        </w:numPr>
        <w:spacing w:before="240" w:line="240" w:lineRule="auto"/>
        <w:ind w:left="1560" w:hanging="567"/>
        <w:rPr>
          <w:color w:val="000000"/>
        </w:rPr>
      </w:pPr>
      <w:r>
        <w:rPr>
          <w:color w:val="000000"/>
        </w:rPr>
        <w:t xml:space="preserve">This exercise shall be continued for computing section wise capacity of the pipeline system including the spur lines. In case of spur </w:t>
      </w:r>
      <w:proofErr w:type="gramStart"/>
      <w:r>
        <w:rPr>
          <w:color w:val="000000"/>
        </w:rPr>
        <w:t>lines</w:t>
      </w:r>
      <w:proofErr w:type="gramEnd"/>
      <w:r>
        <w:rPr>
          <w:color w:val="000000"/>
        </w:rPr>
        <w:t xml:space="preserve"> the tap off point shall be designated as the source point or entry point for spur line and computable (to be fed to the flow computing formula) or contractual hydraulics shall be allowable pressure at that point after accounting for the pressure drop from the tap off point to the consumer point of the spur line or branch line.</w:t>
      </w:r>
    </w:p>
    <w:p w14:paraId="6EF33B55" w14:textId="77777777" w:rsidR="00EA4471" w:rsidRDefault="00EA4471" w:rsidP="00EA4471">
      <w:pPr>
        <w:pStyle w:val="BodyTextIndent3"/>
        <w:numPr>
          <w:ilvl w:val="0"/>
          <w:numId w:val="15"/>
        </w:numPr>
        <w:spacing w:before="240" w:line="240" w:lineRule="auto"/>
        <w:ind w:left="1560" w:hanging="426"/>
        <w:rPr>
          <w:color w:val="000000"/>
        </w:rPr>
      </w:pPr>
      <w:r>
        <w:rPr>
          <w:color w:val="000000"/>
        </w:rPr>
        <w:t>For determining, de-rated MAOP of an existing pipeline, results based on the Instrumented pig survey shall be considered to calculate de-rating factor. In absence of results of the intelligent pig survey (IPS) in any pipeline, hydro testing shall be carried out to establish MAOP of that pipeline as per provisions in the relevant regulations on Technical Standard and Specifications including Safety Standards. Provided that in absence of hydro testing the entity may put up proposal for de-rating based on random thickness survey of the pipeline.  Board reserves the right to check such survey data.</w:t>
      </w:r>
    </w:p>
    <w:p w14:paraId="04382C16" w14:textId="5CB7B156" w:rsidR="00EA4471" w:rsidRDefault="00EA4471" w:rsidP="00EA4471">
      <w:pPr>
        <w:pStyle w:val="BodyTextIndent3"/>
        <w:numPr>
          <w:ilvl w:val="0"/>
          <w:numId w:val="15"/>
        </w:numPr>
        <w:spacing w:before="240" w:line="240" w:lineRule="auto"/>
        <w:ind w:left="1560"/>
        <w:rPr>
          <w:color w:val="000000"/>
        </w:rPr>
      </w:pPr>
      <w:r>
        <w:rPr>
          <w:color w:val="000000"/>
        </w:rPr>
        <w:t xml:space="preserve">The entity shall submit the details of maximum achievable system capacity and section wise capacity of the natural gas pipeline so determined, under the steady state simulation with the details of variable </w:t>
      </w:r>
      <w:r w:rsidR="00FE50B4">
        <w:rPr>
          <w:rStyle w:val="FootnoteReference"/>
          <w:color w:val="000000"/>
        </w:rPr>
        <w:footnoteReference w:id="13"/>
      </w:r>
      <w:r w:rsidR="00FE50B4">
        <w:rPr>
          <w:color w:val="000000"/>
        </w:rPr>
        <w:t>[and]</w:t>
      </w:r>
      <w:r>
        <w:rPr>
          <w:color w:val="000000"/>
        </w:rPr>
        <w:t xml:space="preserve"> constant parameters, to the Board in the specified format at Schedule A along with the hydraulic gradient and system flow diagram for the pipeline system including compressor stations, metering and regulating stations as applicable. </w:t>
      </w:r>
    </w:p>
    <w:p w14:paraId="79FFF35F" w14:textId="77777777" w:rsidR="00EA4471" w:rsidRDefault="00EA4471" w:rsidP="00EA4471">
      <w:pPr>
        <w:pStyle w:val="BodyTextIndent3"/>
        <w:numPr>
          <w:ilvl w:val="0"/>
          <w:numId w:val="14"/>
        </w:numPr>
        <w:spacing w:before="240" w:line="240" w:lineRule="auto"/>
        <w:ind w:left="1560" w:hanging="426"/>
        <w:rPr>
          <w:b/>
          <w:bCs/>
          <w:color w:val="000000"/>
        </w:rPr>
      </w:pPr>
      <w:r>
        <w:rPr>
          <w:b/>
          <w:bCs/>
          <w:color w:val="000000"/>
        </w:rPr>
        <w:t>Petroleum Product Pipelines:</w:t>
      </w:r>
    </w:p>
    <w:p w14:paraId="6B288A3B" w14:textId="42AE67A4" w:rsidR="00EA4471" w:rsidRDefault="00EA4471" w:rsidP="00EA4471">
      <w:pPr>
        <w:pStyle w:val="BodyTextIndent3"/>
        <w:numPr>
          <w:ilvl w:val="0"/>
          <w:numId w:val="16"/>
        </w:numPr>
        <w:spacing w:before="240" w:line="240" w:lineRule="auto"/>
        <w:ind w:left="1701"/>
        <w:rPr>
          <w:color w:val="000000"/>
        </w:rPr>
      </w:pPr>
      <w:r>
        <w:rPr>
          <w:color w:val="000000"/>
        </w:rPr>
        <w:t xml:space="preserve">In a </w:t>
      </w:r>
      <w:r w:rsidR="00FE50B4">
        <w:rPr>
          <w:color w:val="000000"/>
        </w:rPr>
        <w:t>multi-product</w:t>
      </w:r>
      <w:r>
        <w:rPr>
          <w:color w:val="000000"/>
        </w:rPr>
        <w:t xml:space="preserve"> pipeline, the maximum achievable capacity shall be determined based on the characteristics of High Speed Diesel (HSD) whereas </w:t>
      </w:r>
      <w:r>
        <w:rPr>
          <w:color w:val="000000"/>
        </w:rPr>
        <w:lastRenderedPageBreak/>
        <w:t xml:space="preserve">for pipelines dedicated for transportation of single product like LPG, Naphtha or ATF </w:t>
      </w:r>
      <w:r w:rsidR="00FE50B4">
        <w:rPr>
          <w:color w:val="000000"/>
        </w:rPr>
        <w:t>etc.</w:t>
      </w:r>
      <w:r>
        <w:rPr>
          <w:color w:val="000000"/>
        </w:rPr>
        <w:t xml:space="preserve">, characteristics of that product only shall be considered. </w:t>
      </w:r>
    </w:p>
    <w:p w14:paraId="0D4BEA0E" w14:textId="77777777" w:rsidR="00EA4471" w:rsidRDefault="00EA4471" w:rsidP="00EA4471">
      <w:pPr>
        <w:pStyle w:val="BodyTextIndent3"/>
        <w:numPr>
          <w:ilvl w:val="0"/>
          <w:numId w:val="16"/>
        </w:numPr>
        <w:spacing w:before="240" w:line="240" w:lineRule="auto"/>
        <w:ind w:left="1701"/>
        <w:rPr>
          <w:color w:val="000000"/>
        </w:rPr>
      </w:pPr>
      <w:r>
        <w:rPr>
          <w:color w:val="000000"/>
        </w:rPr>
        <w:t xml:space="preserve">The entire pipeline system shall be configured in the selected software package operating offline.  The steady state of hydraulics of the pipeline shall be entered into the system.  </w:t>
      </w:r>
    </w:p>
    <w:p w14:paraId="345ECEDD" w14:textId="77777777" w:rsidR="00EA4471" w:rsidRDefault="00EA4471" w:rsidP="00EA4471">
      <w:pPr>
        <w:pStyle w:val="BodyTextIndent3"/>
        <w:numPr>
          <w:ilvl w:val="0"/>
          <w:numId w:val="16"/>
        </w:numPr>
        <w:spacing w:before="240" w:line="240" w:lineRule="auto"/>
        <w:ind w:left="1701"/>
        <w:rPr>
          <w:color w:val="000000"/>
        </w:rPr>
      </w:pPr>
      <w:r>
        <w:rPr>
          <w:color w:val="000000"/>
        </w:rPr>
        <w:t xml:space="preserve">At the originating point and at intermediate points in the direction of flow set the pressure as a fixed parameter corresponding to maximum allowable operating pressure (MAOP) or pumping facilities available at these locations, as the case may be, and compute the maximum possible flow in the pipeline system. This shall be the capacity of the pipeline system under prevailing facilities and conditions. </w:t>
      </w:r>
    </w:p>
    <w:p w14:paraId="3432BB78" w14:textId="77777777" w:rsidR="00EA4471" w:rsidRDefault="00EA4471" w:rsidP="00EA4471">
      <w:pPr>
        <w:pStyle w:val="BodyTextIndent3"/>
        <w:numPr>
          <w:ilvl w:val="0"/>
          <w:numId w:val="16"/>
        </w:numPr>
        <w:spacing w:before="240" w:line="240" w:lineRule="auto"/>
        <w:ind w:left="1701"/>
        <w:rPr>
          <w:color w:val="000000"/>
        </w:rPr>
      </w:pPr>
      <w:r>
        <w:rPr>
          <w:color w:val="000000"/>
        </w:rPr>
        <w:t>Thereafter, assuming products at the entry points as unlimited, the Station Discharge Head (SDH) at the pump station equal to Maximum Allowable Operating Pressure (MAOP) of the pipeline, the entire pipeline system shall be configured in the selected software package operating offline.  The steady state of hydraulics of the pipeline shall be entered into the system for computing the maximum achievable flow in the pipeline system using the selected software and approved flow equation</w:t>
      </w:r>
    </w:p>
    <w:p w14:paraId="194EB380" w14:textId="77777777" w:rsidR="00EA4471" w:rsidRDefault="00EA4471" w:rsidP="00EA4471">
      <w:pPr>
        <w:pStyle w:val="BodyTextIndent3"/>
        <w:numPr>
          <w:ilvl w:val="0"/>
          <w:numId w:val="16"/>
        </w:numPr>
        <w:spacing w:before="240" w:line="240" w:lineRule="auto"/>
        <w:ind w:left="1701"/>
        <w:rPr>
          <w:color w:val="000000"/>
        </w:rPr>
      </w:pPr>
      <w:r>
        <w:rPr>
          <w:color w:val="000000"/>
        </w:rPr>
        <w:t xml:space="preserve">At the first and subsequent withdrawal points in the direction of flow getting the required pressure or SDH as a fixed parameter, the maximum possible flow within that section shall be computed based on the methodology specified above.  Similarly, the possible volume flow shall be calculated from section to section and tabulated up to the last exit point taking into account the quantity available from other injection points.  </w:t>
      </w:r>
    </w:p>
    <w:p w14:paraId="7B490538" w14:textId="77777777" w:rsidR="00EA4471" w:rsidRDefault="00EA4471" w:rsidP="00EA4471">
      <w:pPr>
        <w:pStyle w:val="BodyTextIndent3"/>
        <w:numPr>
          <w:ilvl w:val="0"/>
          <w:numId w:val="16"/>
        </w:numPr>
        <w:spacing w:before="240" w:line="240" w:lineRule="auto"/>
        <w:ind w:left="1701"/>
        <w:rPr>
          <w:color w:val="000000"/>
        </w:rPr>
      </w:pPr>
      <w:r>
        <w:rPr>
          <w:color w:val="000000"/>
        </w:rPr>
        <w:t xml:space="preserve">If the capacity of a pipeline </w:t>
      </w:r>
      <w:proofErr w:type="gramStart"/>
      <w:r>
        <w:rPr>
          <w:color w:val="000000"/>
        </w:rPr>
        <w:t>have</w:t>
      </w:r>
      <w:proofErr w:type="gramEnd"/>
      <w:r>
        <w:rPr>
          <w:color w:val="000000"/>
        </w:rPr>
        <w:t xml:space="preserve"> been downgraded or decreased due to de-rating of the MAOP of the pipeline due to factors like metal loss, the de-rated capacity of such pipelines shall be determined considering results of Instrumented pig survey. In the absence of results of IPS in any pipeline, hydro testing shall be carried out to establish MAOP of that pipeline as per provisions in the relevant regulations on Technical Standard and Specifications including Safety Standards. Provided that in absence of hydro testing the entity may put up proposal for de-rating based on random thickness survey of the pipeline.  Board reserves the right to check such survey data.</w:t>
      </w:r>
    </w:p>
    <w:p w14:paraId="3B5A3FBD" w14:textId="77777777" w:rsidR="00EA4471" w:rsidRDefault="00EA4471" w:rsidP="00EA4471">
      <w:pPr>
        <w:pStyle w:val="BodyTextIndent3"/>
        <w:numPr>
          <w:ilvl w:val="0"/>
          <w:numId w:val="16"/>
        </w:numPr>
        <w:spacing w:before="240" w:line="240" w:lineRule="auto"/>
        <w:ind w:left="1701" w:hanging="567"/>
        <w:rPr>
          <w:color w:val="000000"/>
        </w:rPr>
      </w:pPr>
      <w:r>
        <w:rPr>
          <w:color w:val="000000"/>
        </w:rPr>
        <w:t>The requirement of a pressure or SDH at any exit point shall determine the possible capacity within a particular section serving that exit points.  Provided further that maintainability of a particular hydraulics condition at any exit point shall be mutually determined between capacity determining authority and the transporter within the flexibility available in the system. The section wise capacity thus calculated with single or multiple entry and exit points shall be run with the selected software package offline in the steady state operation of the system to arrive at capacities of various sections.</w:t>
      </w:r>
    </w:p>
    <w:p w14:paraId="104BFC05" w14:textId="37CACE61" w:rsidR="00EA4471" w:rsidRDefault="00EA4471" w:rsidP="00EA4471">
      <w:pPr>
        <w:pStyle w:val="BodyTextIndent3"/>
        <w:numPr>
          <w:ilvl w:val="0"/>
          <w:numId w:val="16"/>
        </w:numPr>
        <w:spacing w:before="240" w:line="240" w:lineRule="auto"/>
        <w:ind w:left="1701" w:hanging="567"/>
        <w:rPr>
          <w:color w:val="000000"/>
        </w:rPr>
      </w:pPr>
      <w:r>
        <w:rPr>
          <w:color w:val="000000"/>
        </w:rPr>
        <w:t xml:space="preserve">The entity shall submit the maximum achievable pipeline capacity as well as section wise capacity of the product pipeline so determined, under the steady </w:t>
      </w:r>
      <w:r>
        <w:rPr>
          <w:color w:val="000000"/>
        </w:rPr>
        <w:lastRenderedPageBreak/>
        <w:t xml:space="preserve">state simulation with the details of variable </w:t>
      </w:r>
      <w:r w:rsidR="002004BC">
        <w:rPr>
          <w:rStyle w:val="FootnoteReference"/>
          <w:color w:val="000000"/>
        </w:rPr>
        <w:footnoteReference w:id="14"/>
      </w:r>
      <w:r w:rsidR="002004BC">
        <w:rPr>
          <w:color w:val="000000"/>
        </w:rPr>
        <w:t>[and]</w:t>
      </w:r>
      <w:r>
        <w:rPr>
          <w:color w:val="000000"/>
        </w:rPr>
        <w:t xml:space="preserve"> constant parameters, to the Board in the specified format at Schedule B along with the hydraulic gradient and system flow diagram for the pipeline system. </w:t>
      </w:r>
    </w:p>
    <w:p w14:paraId="4E1014CC" w14:textId="7A5C23DF" w:rsidR="00EA4471" w:rsidRDefault="00EA4471" w:rsidP="00EA4471">
      <w:pPr>
        <w:pStyle w:val="BodyTextIndent3"/>
        <w:numPr>
          <w:ilvl w:val="0"/>
          <w:numId w:val="14"/>
        </w:numPr>
        <w:spacing w:before="240" w:line="240" w:lineRule="auto"/>
        <w:ind w:left="1418" w:hanging="426"/>
        <w:rPr>
          <w:bCs/>
          <w:color w:val="000000"/>
        </w:rPr>
      </w:pPr>
      <w:r>
        <w:rPr>
          <w:bCs/>
          <w:color w:val="000000"/>
        </w:rPr>
        <w:t xml:space="preserve">In case the contractual pressure at any entry and exit point is within a band, the arithmetic mean rounded </w:t>
      </w:r>
      <w:r w:rsidR="002004BC">
        <w:rPr>
          <w:bCs/>
          <w:color w:val="000000"/>
        </w:rPr>
        <w:t>up to</w:t>
      </w:r>
      <w:r>
        <w:rPr>
          <w:bCs/>
          <w:color w:val="000000"/>
        </w:rPr>
        <w:t xml:space="preserve"> first decimal point shall be considered.</w:t>
      </w:r>
    </w:p>
    <w:p w14:paraId="4BF2F038" w14:textId="77777777" w:rsidR="002004BC" w:rsidRDefault="00EA4471" w:rsidP="002004BC">
      <w:pPr>
        <w:pStyle w:val="BodyTextIndent3"/>
        <w:numPr>
          <w:ilvl w:val="0"/>
          <w:numId w:val="14"/>
        </w:numPr>
        <w:spacing w:before="240" w:line="240" w:lineRule="auto"/>
        <w:ind w:left="1418" w:hanging="426"/>
        <w:rPr>
          <w:bCs/>
          <w:color w:val="000000"/>
        </w:rPr>
      </w:pPr>
      <w:r>
        <w:rPr>
          <w:bCs/>
          <w:color w:val="000000"/>
        </w:rPr>
        <w:t>The annual capacity of pipeline system and sections shall be as per the operation days specified in the Access Code for respective system.</w:t>
      </w:r>
      <w:r w:rsidR="002004BC">
        <w:rPr>
          <w:bCs/>
          <w:color w:val="000000"/>
        </w:rPr>
        <w:t xml:space="preserve"> </w:t>
      </w:r>
    </w:p>
    <w:p w14:paraId="02C92EDE" w14:textId="30CBFBD3" w:rsidR="002004BC" w:rsidRDefault="002004BC" w:rsidP="00C413C9">
      <w:pPr>
        <w:pStyle w:val="BodyTextIndent3"/>
        <w:numPr>
          <w:ilvl w:val="0"/>
          <w:numId w:val="14"/>
        </w:numPr>
        <w:spacing w:before="240" w:line="240" w:lineRule="auto"/>
        <w:ind w:left="1418" w:hanging="426"/>
        <w:rPr>
          <w:bCs/>
          <w:color w:val="000000"/>
        </w:rPr>
      </w:pPr>
      <w:r>
        <w:rPr>
          <w:rStyle w:val="FootnoteReference"/>
          <w:bCs/>
          <w:color w:val="000000"/>
        </w:rPr>
        <w:footnoteReference w:id="15"/>
      </w:r>
      <w:r>
        <w:rPr>
          <w:bCs/>
          <w:color w:val="000000"/>
        </w:rPr>
        <w:t>[</w:t>
      </w:r>
      <w:r>
        <w:t xml:space="preserve">The capacity of integrated or interconnected pipeline network shall be determined in line with methodology as specified above. </w:t>
      </w:r>
    </w:p>
    <w:p w14:paraId="6EC27002" w14:textId="77777777" w:rsidR="002004BC" w:rsidRDefault="002004BC" w:rsidP="00C413C9">
      <w:pPr>
        <w:pStyle w:val="BodyTextIndent3"/>
        <w:numPr>
          <w:ilvl w:val="0"/>
          <w:numId w:val="14"/>
        </w:numPr>
        <w:spacing w:before="240" w:line="240" w:lineRule="auto"/>
        <w:ind w:left="1418" w:hanging="426"/>
        <w:rPr>
          <w:bCs/>
          <w:color w:val="000000"/>
        </w:rPr>
      </w:pPr>
      <w:r>
        <w:t xml:space="preserve">Reduction of pipeline capacity shall not be permitted except in case of de-rating with prior approval from Board. </w:t>
      </w:r>
    </w:p>
    <w:p w14:paraId="2B0E0D25" w14:textId="02D77CB5" w:rsidR="002004BC" w:rsidRPr="002004BC" w:rsidRDefault="002004BC" w:rsidP="00C413C9">
      <w:pPr>
        <w:pStyle w:val="BodyTextIndent3"/>
        <w:numPr>
          <w:ilvl w:val="0"/>
          <w:numId w:val="14"/>
        </w:numPr>
        <w:spacing w:before="240" w:line="240" w:lineRule="auto"/>
        <w:ind w:left="1418" w:hanging="426"/>
        <w:rPr>
          <w:bCs/>
          <w:color w:val="000000"/>
        </w:rPr>
      </w:pPr>
      <w:r>
        <w:t>Wherever there is any change in the capacity of natural gas pipeline in the past or in future due to reason(s) as approved by the PNGRB’s Board, in such cases entity shall submit the revised capacity of the natural gas pipeline, separately due to each such reasons, to PNGRB in terms of these regulations for capacity determination and approval of the Board.]</w:t>
      </w:r>
    </w:p>
    <w:p w14:paraId="00C41463" w14:textId="77777777" w:rsidR="00EA4471" w:rsidRDefault="00EA4471" w:rsidP="00EA4471">
      <w:pPr>
        <w:pStyle w:val="BodyTextIndent3"/>
        <w:numPr>
          <w:ilvl w:val="0"/>
          <w:numId w:val="3"/>
        </w:numPr>
        <w:spacing w:before="240" w:line="240" w:lineRule="auto"/>
        <w:ind w:left="709" w:hanging="283"/>
        <w:rPr>
          <w:b/>
          <w:bCs/>
          <w:color w:val="000000"/>
        </w:rPr>
      </w:pPr>
      <w:r>
        <w:rPr>
          <w:b/>
          <w:bCs/>
          <w:color w:val="000000"/>
        </w:rPr>
        <w:t>Declaring capacity of Petroleum, Petroleum Products and Natural Gas pipeline by the Board.</w:t>
      </w:r>
    </w:p>
    <w:p w14:paraId="7D4EBA41" w14:textId="77777777" w:rsidR="00EA4471" w:rsidRDefault="00EA4471" w:rsidP="00EA4471">
      <w:pPr>
        <w:pStyle w:val="ListParagraph"/>
        <w:numPr>
          <w:ilvl w:val="0"/>
          <w:numId w:val="17"/>
        </w:numPr>
        <w:spacing w:before="240"/>
        <w:ind w:left="1134"/>
        <w:jc w:val="both"/>
        <w:rPr>
          <w:color w:val="000000"/>
        </w:rPr>
      </w:pPr>
      <w:r>
        <w:rPr>
          <w:color w:val="000000"/>
        </w:rPr>
        <w:t>The Board, after having satisfied with the data submitted by the entity regarding capacity of the pipeline, shall decide-</w:t>
      </w:r>
    </w:p>
    <w:p w14:paraId="504C5AD5" w14:textId="77777777" w:rsidR="00EA4471" w:rsidRDefault="00EA4471" w:rsidP="00EA4471">
      <w:pPr>
        <w:pStyle w:val="BodyTextIndent3"/>
        <w:numPr>
          <w:ilvl w:val="0"/>
          <w:numId w:val="18"/>
        </w:numPr>
        <w:spacing w:before="240" w:line="240" w:lineRule="auto"/>
        <w:ind w:left="1418"/>
        <w:rPr>
          <w:color w:val="000000"/>
          <w:lang w:val="en-IN"/>
        </w:rPr>
      </w:pPr>
      <w:r>
        <w:rPr>
          <w:color w:val="000000"/>
        </w:rPr>
        <w:t>to reject the capacity so determined and direct the entity to revise the capacity calculations based on the revised parameters; or</w:t>
      </w:r>
    </w:p>
    <w:p w14:paraId="1C456F21" w14:textId="77777777" w:rsidR="00EA4471" w:rsidRDefault="00EA4471" w:rsidP="00EA4471">
      <w:pPr>
        <w:pStyle w:val="BodyTextIndent3"/>
        <w:numPr>
          <w:ilvl w:val="0"/>
          <w:numId w:val="18"/>
        </w:numPr>
        <w:spacing w:before="240" w:line="240" w:lineRule="auto"/>
        <w:ind w:left="1418"/>
        <w:rPr>
          <w:color w:val="000000"/>
          <w:lang w:val="en-IN"/>
        </w:rPr>
      </w:pPr>
      <w:r>
        <w:rPr>
          <w:color w:val="000000"/>
        </w:rPr>
        <w:t>to go ahead with the proposal with or without modification:</w:t>
      </w:r>
    </w:p>
    <w:p w14:paraId="2EC4FEFC" w14:textId="77777777" w:rsidR="00EA4471" w:rsidRDefault="00EA4471" w:rsidP="00EA4471">
      <w:pPr>
        <w:pStyle w:val="ListParagraph"/>
        <w:numPr>
          <w:ilvl w:val="0"/>
          <w:numId w:val="17"/>
        </w:numPr>
        <w:spacing w:before="240"/>
        <w:ind w:left="1134"/>
        <w:jc w:val="both"/>
        <w:rPr>
          <w:color w:val="000000"/>
        </w:rPr>
      </w:pPr>
      <w:r>
        <w:rPr>
          <w:color w:val="000000"/>
        </w:rPr>
        <w:t xml:space="preserve">The capacity so determined shall be declared by the Board as the declared capacity of pipeline system and specific sections and the same shall be available to the shippers or consumers. The Board shall declare the section wise capacity of the system in the format specified at Schedule C. </w:t>
      </w:r>
    </w:p>
    <w:p w14:paraId="5676D3A6" w14:textId="77777777" w:rsidR="00EA4471" w:rsidRDefault="00EA4471" w:rsidP="00EA4471">
      <w:pPr>
        <w:pStyle w:val="ListParagraph"/>
        <w:numPr>
          <w:ilvl w:val="0"/>
          <w:numId w:val="17"/>
        </w:numPr>
        <w:spacing w:before="240"/>
        <w:ind w:left="1134"/>
        <w:jc w:val="both"/>
        <w:rPr>
          <w:color w:val="000000"/>
        </w:rPr>
      </w:pPr>
      <w:r>
        <w:rPr>
          <w:color w:val="000000"/>
        </w:rPr>
        <w:t xml:space="preserve">The entity, after declaring the pipeline capacity and section wise capacities by the Board, shall publish the same in line with the provisions of the relevant regulations on the Access Code for such pipeline as and when notified, on their website. </w:t>
      </w:r>
    </w:p>
    <w:p w14:paraId="1F274F91" w14:textId="77777777" w:rsidR="00EA4471" w:rsidRDefault="00EA4471" w:rsidP="00EA4471">
      <w:pPr>
        <w:pStyle w:val="BodyTextIndent3"/>
        <w:numPr>
          <w:ilvl w:val="0"/>
          <w:numId w:val="3"/>
        </w:numPr>
        <w:spacing w:before="240" w:line="240" w:lineRule="auto"/>
        <w:ind w:left="851" w:hanging="426"/>
        <w:rPr>
          <w:b/>
          <w:bCs/>
          <w:color w:val="000000"/>
        </w:rPr>
      </w:pPr>
      <w:r>
        <w:rPr>
          <w:b/>
          <w:bCs/>
          <w:color w:val="000000"/>
        </w:rPr>
        <w:t>Periodicity for determining capacity of a Petroleum, Petroleum Products and Natural Gas pipeline.</w:t>
      </w:r>
    </w:p>
    <w:p w14:paraId="422439F4" w14:textId="24F35B90" w:rsidR="00EA4471" w:rsidRDefault="00EA4471" w:rsidP="00EA4471">
      <w:pPr>
        <w:pStyle w:val="BodyTextIndent3"/>
        <w:numPr>
          <w:ilvl w:val="0"/>
          <w:numId w:val="19"/>
        </w:numPr>
        <w:spacing w:before="240" w:line="240" w:lineRule="auto"/>
        <w:ind w:left="1134"/>
        <w:rPr>
          <w:bCs/>
          <w:color w:val="000000"/>
        </w:rPr>
      </w:pPr>
      <w:r>
        <w:rPr>
          <w:bCs/>
          <w:color w:val="000000"/>
        </w:rPr>
        <w:lastRenderedPageBreak/>
        <w:t>The capacity of a pipeline shall be determined on first working day of April every year</w:t>
      </w:r>
      <w:r w:rsidR="0078527B">
        <w:rPr>
          <w:bCs/>
          <w:color w:val="000000"/>
        </w:rPr>
        <w:t xml:space="preserve"> </w:t>
      </w:r>
      <w:r w:rsidR="0078527B">
        <w:rPr>
          <w:rStyle w:val="FootnoteReference"/>
          <w:bCs/>
          <w:color w:val="000000"/>
        </w:rPr>
        <w:footnoteReference w:id="16"/>
      </w:r>
      <w:r w:rsidR="0078527B">
        <w:rPr>
          <w:bCs/>
          <w:color w:val="000000"/>
        </w:rPr>
        <w:t>[</w:t>
      </w:r>
      <w:r w:rsidR="0078527B">
        <w:t>for next financial year”</w:t>
      </w:r>
      <w:r w:rsidR="0078527B">
        <w:rPr>
          <w:bCs/>
          <w:color w:val="000000"/>
        </w:rPr>
        <w:t>]</w:t>
      </w:r>
      <w:r>
        <w:rPr>
          <w:bCs/>
          <w:color w:val="000000"/>
        </w:rPr>
        <w:t xml:space="preserve"> or whenever</w:t>
      </w:r>
      <w:r w:rsidR="0078527B">
        <w:rPr>
          <w:bCs/>
          <w:color w:val="000000"/>
        </w:rPr>
        <w:t xml:space="preserve"> </w:t>
      </w:r>
      <w:r w:rsidR="0078527B">
        <w:rPr>
          <w:rStyle w:val="FootnoteReference"/>
          <w:bCs/>
          <w:color w:val="000000"/>
        </w:rPr>
        <w:footnoteReference w:id="17"/>
      </w:r>
      <w:r w:rsidR="0078527B">
        <w:rPr>
          <w:bCs/>
          <w:color w:val="000000"/>
        </w:rPr>
        <w:t>[</w:t>
      </w:r>
      <w:r w:rsidR="0078527B">
        <w:t>there is an aggregate change of plus or minus 10% in capacity due to the following factors</w:t>
      </w:r>
      <w:r w:rsidR="0078527B">
        <w:rPr>
          <w:bCs/>
          <w:color w:val="000000"/>
        </w:rPr>
        <w:t xml:space="preserve">] </w:t>
      </w:r>
      <w:r>
        <w:rPr>
          <w:bCs/>
          <w:color w:val="000000"/>
        </w:rPr>
        <w:t xml:space="preserve">- </w:t>
      </w:r>
    </w:p>
    <w:p w14:paraId="02D01C09" w14:textId="77777777" w:rsidR="00EA4471" w:rsidRDefault="00EA4471" w:rsidP="00EA4471">
      <w:pPr>
        <w:pStyle w:val="BodyTextIndent3"/>
        <w:numPr>
          <w:ilvl w:val="0"/>
          <w:numId w:val="20"/>
        </w:numPr>
        <w:spacing w:before="240" w:line="240" w:lineRule="auto"/>
        <w:ind w:left="1418"/>
        <w:rPr>
          <w:color w:val="000000"/>
        </w:rPr>
      </w:pPr>
      <w:r>
        <w:rPr>
          <w:bCs/>
          <w:color w:val="000000"/>
        </w:rPr>
        <w:t>there is a</w:t>
      </w:r>
      <w:r>
        <w:rPr>
          <w:color w:val="000000"/>
        </w:rPr>
        <w:t xml:space="preserve"> major change in the injected quantity or off taken quantity of petroleum, petroleum products and natural gas;</w:t>
      </w:r>
    </w:p>
    <w:p w14:paraId="04D0494F" w14:textId="77777777" w:rsidR="00EA4471" w:rsidRDefault="00EA4471" w:rsidP="00EA4471">
      <w:pPr>
        <w:pStyle w:val="BodyTextIndent3"/>
        <w:numPr>
          <w:ilvl w:val="0"/>
          <w:numId w:val="20"/>
        </w:numPr>
        <w:spacing w:before="240" w:line="240" w:lineRule="auto"/>
        <w:ind w:left="1418"/>
        <w:rPr>
          <w:color w:val="000000"/>
        </w:rPr>
      </w:pPr>
      <w:r>
        <w:rPr>
          <w:color w:val="000000"/>
        </w:rPr>
        <w:t>contract carrier quantity period expires;</w:t>
      </w:r>
    </w:p>
    <w:p w14:paraId="45990C7B" w14:textId="10761299" w:rsidR="00EA4471" w:rsidRDefault="00EA4471" w:rsidP="00EA4471">
      <w:pPr>
        <w:pStyle w:val="BodyTextIndent3"/>
        <w:numPr>
          <w:ilvl w:val="0"/>
          <w:numId w:val="20"/>
        </w:numPr>
        <w:spacing w:before="240" w:line="240" w:lineRule="auto"/>
        <w:ind w:left="1418"/>
        <w:rPr>
          <w:color w:val="000000"/>
        </w:rPr>
      </w:pPr>
      <w:r>
        <w:rPr>
          <w:color w:val="000000"/>
        </w:rPr>
        <w:t xml:space="preserve">there is a change of plus or minus ten percent in gas composition or product quality or in other operating parameters from the operating conditions of the pipeline system within the parameters defined under the relevant regulations on the access code </w:t>
      </w:r>
      <w:r w:rsidR="00F861E2">
        <w:rPr>
          <w:rStyle w:val="FootnoteReference"/>
          <w:color w:val="000000"/>
        </w:rPr>
        <w:footnoteReference w:id="18"/>
      </w:r>
      <w:r w:rsidR="00F861E2">
        <w:rPr>
          <w:color w:val="000000"/>
        </w:rPr>
        <w:t>[]</w:t>
      </w:r>
      <w:r>
        <w:rPr>
          <w:color w:val="000000"/>
        </w:rPr>
        <w:t>;</w:t>
      </w:r>
    </w:p>
    <w:p w14:paraId="1B809EAC" w14:textId="77777777" w:rsidR="00EA4471" w:rsidRDefault="00EA4471" w:rsidP="00EA4471">
      <w:pPr>
        <w:pStyle w:val="BodyTextIndent3"/>
        <w:numPr>
          <w:ilvl w:val="0"/>
          <w:numId w:val="20"/>
        </w:numPr>
        <w:spacing w:before="240" w:line="240" w:lineRule="auto"/>
        <w:ind w:left="1418"/>
        <w:rPr>
          <w:color w:val="000000"/>
        </w:rPr>
      </w:pPr>
      <w:r>
        <w:rPr>
          <w:color w:val="000000"/>
        </w:rPr>
        <w:t xml:space="preserve">there is addition or deletion of entry or exit point; or </w:t>
      </w:r>
    </w:p>
    <w:p w14:paraId="3053E86E" w14:textId="77777777" w:rsidR="00EA4471" w:rsidRDefault="00EA4471" w:rsidP="00EA4471">
      <w:pPr>
        <w:pStyle w:val="BodyTextIndent3"/>
        <w:numPr>
          <w:ilvl w:val="0"/>
          <w:numId w:val="20"/>
        </w:numPr>
        <w:spacing w:before="240" w:line="240" w:lineRule="auto"/>
        <w:ind w:left="1418"/>
        <w:rPr>
          <w:color w:val="000000"/>
        </w:rPr>
      </w:pPr>
      <w:r>
        <w:rPr>
          <w:color w:val="000000"/>
        </w:rPr>
        <w:t xml:space="preserve">there is addition or deletion of facilities, for example, compressor or pumping station, loop lines or any other facility; </w:t>
      </w:r>
    </w:p>
    <w:p w14:paraId="1E08836D" w14:textId="0FCBC886" w:rsidR="00EA4471" w:rsidRDefault="00EA4471" w:rsidP="00EA4471">
      <w:pPr>
        <w:pStyle w:val="BodyTextIndent3"/>
        <w:numPr>
          <w:ilvl w:val="0"/>
          <w:numId w:val="19"/>
        </w:numPr>
        <w:spacing w:before="240" w:line="240" w:lineRule="auto"/>
        <w:ind w:left="1134"/>
        <w:rPr>
          <w:bCs/>
          <w:color w:val="000000"/>
        </w:rPr>
      </w:pPr>
      <w:r>
        <w:rPr>
          <w:bCs/>
          <w:color w:val="000000"/>
        </w:rPr>
        <w:t>The entity shall submit the details of the so re-determined capacity of the pipeline</w:t>
      </w:r>
      <w:r w:rsidR="00F861E2">
        <w:rPr>
          <w:bCs/>
          <w:color w:val="000000"/>
        </w:rPr>
        <w:t xml:space="preserve"> </w:t>
      </w:r>
      <w:r w:rsidR="00F861E2">
        <w:rPr>
          <w:rStyle w:val="FootnoteReference"/>
          <w:bCs/>
          <w:color w:val="000000"/>
        </w:rPr>
        <w:footnoteReference w:id="19"/>
      </w:r>
      <w:r w:rsidR="00F861E2">
        <w:rPr>
          <w:bCs/>
          <w:color w:val="000000"/>
        </w:rPr>
        <w:t>[</w:t>
      </w:r>
      <w:r w:rsidR="00F861E2">
        <w:t>(as per regulation 5)</w:t>
      </w:r>
      <w:r w:rsidR="00F861E2">
        <w:rPr>
          <w:bCs/>
          <w:color w:val="000000"/>
        </w:rPr>
        <w:t>]</w:t>
      </w:r>
      <w:r>
        <w:rPr>
          <w:bCs/>
          <w:color w:val="000000"/>
        </w:rPr>
        <w:t xml:space="preserve"> to the Board in line with the provisions of these regulations for the purpose of declaration of capacity.</w:t>
      </w:r>
    </w:p>
    <w:p w14:paraId="47A6C0AB" w14:textId="77777777" w:rsidR="00EA4471" w:rsidRDefault="00EA4471" w:rsidP="00EA4471">
      <w:pPr>
        <w:pStyle w:val="BodyTextIndent3"/>
        <w:numPr>
          <w:ilvl w:val="0"/>
          <w:numId w:val="3"/>
        </w:numPr>
        <w:spacing w:before="240" w:line="240" w:lineRule="auto"/>
        <w:ind w:left="851" w:hanging="426"/>
        <w:rPr>
          <w:b/>
          <w:color w:val="000000"/>
        </w:rPr>
      </w:pPr>
      <w:r>
        <w:rPr>
          <w:b/>
          <w:color w:val="000000"/>
        </w:rPr>
        <w:t>Provisions relating to dedicated pipelines for transport of Petroleum, Petroleum Products and Natural Gas.</w:t>
      </w:r>
    </w:p>
    <w:p w14:paraId="633A3251" w14:textId="77777777" w:rsidR="00EA4471" w:rsidRDefault="00EA4471" w:rsidP="00EA4471">
      <w:pPr>
        <w:pStyle w:val="BodyText"/>
        <w:numPr>
          <w:ilvl w:val="0"/>
          <w:numId w:val="21"/>
        </w:numPr>
        <w:spacing w:before="240" w:after="0"/>
        <w:ind w:left="1134" w:hanging="425"/>
        <w:jc w:val="both"/>
        <w:rPr>
          <w:color w:val="000000"/>
          <w:lang w:val="en-IN"/>
        </w:rPr>
      </w:pPr>
      <w:r>
        <w:rPr>
          <w:color w:val="000000"/>
        </w:rPr>
        <w:t xml:space="preserve">In respect of existing dedicated pipelines, the following provisions shall apply, </w:t>
      </w:r>
      <w:proofErr w:type="gramStart"/>
      <w:r>
        <w:rPr>
          <w:color w:val="000000"/>
        </w:rPr>
        <w:t>namely:-</w:t>
      </w:r>
      <w:proofErr w:type="gramEnd"/>
    </w:p>
    <w:p w14:paraId="4AA9313B" w14:textId="77777777" w:rsidR="00EA4471" w:rsidRDefault="00EA4471" w:rsidP="00EA4471">
      <w:pPr>
        <w:pStyle w:val="BodyText"/>
        <w:numPr>
          <w:ilvl w:val="0"/>
          <w:numId w:val="22"/>
        </w:numPr>
        <w:spacing w:before="240" w:after="0"/>
        <w:ind w:left="1418" w:hanging="425"/>
        <w:jc w:val="both"/>
        <w:rPr>
          <w:color w:val="000000"/>
          <w:lang w:val="en-IN"/>
        </w:rPr>
      </w:pPr>
      <w:r>
        <w:rPr>
          <w:color w:val="000000"/>
        </w:rPr>
        <w:t xml:space="preserve">entity having dedicated pipeline to transport petroleum, petroleum products and natural gas to a specific customer and which is not for resale </w:t>
      </w:r>
      <w:r>
        <w:rPr>
          <w:iCs/>
          <w:color w:val="000000"/>
        </w:rPr>
        <w:t>before</w:t>
      </w:r>
      <w:r>
        <w:rPr>
          <w:color w:val="000000"/>
        </w:rPr>
        <w:t xml:space="preserve"> the appointed day shall submit details of the pipeline capacity as determined based on the provisions of these regulations to the Board within thirty days of notification of these regulations;</w:t>
      </w:r>
    </w:p>
    <w:p w14:paraId="57D27C2C" w14:textId="77777777" w:rsidR="00EA4471" w:rsidRDefault="00EA4471" w:rsidP="00EA4471">
      <w:pPr>
        <w:pStyle w:val="BodyText"/>
        <w:numPr>
          <w:ilvl w:val="0"/>
          <w:numId w:val="22"/>
        </w:numPr>
        <w:spacing w:before="240" w:after="0"/>
        <w:ind w:left="1418" w:hanging="425"/>
        <w:jc w:val="both"/>
        <w:rPr>
          <w:color w:val="000000"/>
        </w:rPr>
      </w:pPr>
      <w:r>
        <w:rPr>
          <w:color w:val="000000"/>
        </w:rPr>
        <w:t xml:space="preserve">the Board may, based on the examination of the information received, declare the capacity of such pipeline as capacity of dedicated pipeline. </w:t>
      </w:r>
    </w:p>
    <w:p w14:paraId="40F298B9" w14:textId="77777777" w:rsidR="00EA4471" w:rsidRDefault="00EA4471" w:rsidP="00EA4471">
      <w:pPr>
        <w:pStyle w:val="BodyTextIndent3"/>
        <w:numPr>
          <w:ilvl w:val="0"/>
          <w:numId w:val="3"/>
        </w:numPr>
        <w:spacing w:before="240" w:line="240" w:lineRule="auto"/>
        <w:ind w:left="426" w:firstLine="0"/>
        <w:rPr>
          <w:color w:val="000000"/>
        </w:rPr>
      </w:pPr>
      <w:r>
        <w:rPr>
          <w:b/>
          <w:color w:val="000000"/>
        </w:rPr>
        <w:t>Miscellaneous.</w:t>
      </w:r>
    </w:p>
    <w:p w14:paraId="35D9CAE6" w14:textId="647079BC" w:rsidR="00EA4471" w:rsidRDefault="00EA4471" w:rsidP="00EA4471">
      <w:pPr>
        <w:pStyle w:val="BodyText"/>
        <w:spacing w:before="240" w:after="0"/>
        <w:ind w:left="1134" w:hanging="425"/>
        <w:jc w:val="both"/>
        <w:rPr>
          <w:color w:val="000000"/>
        </w:rPr>
      </w:pPr>
      <w:r>
        <w:rPr>
          <w:rStyle w:val="FootnoteReference"/>
          <w:color w:val="000000"/>
        </w:rPr>
        <w:lastRenderedPageBreak/>
        <w:footnoteReference w:id="20"/>
      </w:r>
      <w:r>
        <w:rPr>
          <w:color w:val="000000"/>
        </w:rPr>
        <w:t>[(1) If any question arises as to interpretation of these regulations, the same shall be decided by the Board.]</w:t>
      </w:r>
    </w:p>
    <w:p w14:paraId="3B3A09DE" w14:textId="77777777" w:rsidR="00EA4471" w:rsidRDefault="00EA4471" w:rsidP="00EA4471">
      <w:pPr>
        <w:pStyle w:val="BodyText"/>
        <w:numPr>
          <w:ilvl w:val="0"/>
          <w:numId w:val="26"/>
        </w:numPr>
        <w:spacing w:before="240" w:after="0"/>
        <w:ind w:left="1134" w:hanging="425"/>
        <w:jc w:val="both"/>
        <w:rPr>
          <w:color w:val="000000"/>
        </w:rPr>
      </w:pPr>
      <w:r>
        <w:rPr>
          <w:color w:val="000000"/>
        </w:rPr>
        <w:t xml:space="preserve">The Board may, either </w:t>
      </w:r>
      <w:proofErr w:type="spellStart"/>
      <w:r>
        <w:rPr>
          <w:color w:val="000000"/>
        </w:rPr>
        <w:t>suo</w:t>
      </w:r>
      <w:proofErr w:type="spellEnd"/>
      <w:r>
        <w:rPr>
          <w:color w:val="000000"/>
        </w:rPr>
        <w:t xml:space="preserve"> moto or on a complaint, refer the issue of determination of the capacity in a pipeline, to any external consultant or expert. Cost in this regard shall be borne by the entity or the complainant or as deemed fit by the Board on a case specific basis. However, the recommendation of the consultant or expert shall be advisory in nature to the Board and shall not be binding;</w:t>
      </w:r>
    </w:p>
    <w:p w14:paraId="46240184" w14:textId="3ED2E222" w:rsidR="00EA4471" w:rsidRPr="00EA4471" w:rsidRDefault="00EA4471" w:rsidP="00EA4471">
      <w:pPr>
        <w:pStyle w:val="BodyText"/>
        <w:numPr>
          <w:ilvl w:val="0"/>
          <w:numId w:val="26"/>
        </w:numPr>
        <w:spacing w:before="240" w:after="0"/>
        <w:ind w:left="1134" w:hanging="425"/>
        <w:jc w:val="both"/>
        <w:rPr>
          <w:color w:val="000000"/>
        </w:rPr>
      </w:pPr>
      <w:r w:rsidRPr="00EA4471">
        <w:rPr>
          <w:color w:val="000000"/>
        </w:rPr>
        <w:t xml:space="preserve">The Board may validate the computed capacity with actual capacity as per the flow regime of the pipeline with actual flow conditions as and when desired. </w:t>
      </w:r>
    </w:p>
    <w:p w14:paraId="6E5AF280" w14:textId="77777777" w:rsidR="00EA4471" w:rsidRDefault="00EA4471" w:rsidP="00EA4471">
      <w:pPr>
        <w:pStyle w:val="BodyTextIndent3"/>
        <w:spacing w:line="276" w:lineRule="auto"/>
        <w:ind w:left="360" w:firstLine="0"/>
        <w:jc w:val="center"/>
        <w:rPr>
          <w:b/>
          <w:color w:val="000000"/>
          <w:u w:val="single"/>
        </w:rPr>
      </w:pPr>
      <w:r>
        <w:rPr>
          <w:b/>
          <w:color w:val="000000"/>
        </w:rPr>
        <w:br w:type="page"/>
      </w:r>
      <w:r>
        <w:rPr>
          <w:b/>
          <w:color w:val="000000"/>
          <w:u w:val="single"/>
        </w:rPr>
        <w:lastRenderedPageBreak/>
        <w:t>Schedule A</w:t>
      </w:r>
    </w:p>
    <w:p w14:paraId="321618A1" w14:textId="77777777" w:rsidR="00EA4471" w:rsidRDefault="00EA4471" w:rsidP="00EA4471">
      <w:pPr>
        <w:pStyle w:val="BodyTextIndent3"/>
        <w:spacing w:line="276" w:lineRule="auto"/>
        <w:ind w:left="360" w:firstLine="0"/>
        <w:jc w:val="center"/>
        <w:rPr>
          <w:color w:val="000000"/>
        </w:rPr>
      </w:pPr>
      <w:r>
        <w:rPr>
          <w:color w:val="000000"/>
        </w:rPr>
        <w:t>[see regulation 5(5)(a)(x)]</w:t>
      </w:r>
    </w:p>
    <w:p w14:paraId="14BBA358" w14:textId="77777777" w:rsidR="00EA4471" w:rsidRDefault="00EA4471" w:rsidP="00EA4471">
      <w:pPr>
        <w:pStyle w:val="BodyTextIndent3"/>
        <w:spacing w:line="276" w:lineRule="auto"/>
        <w:ind w:left="357" w:firstLine="0"/>
        <w:rPr>
          <w:color w:val="000000"/>
        </w:rPr>
      </w:pPr>
    </w:p>
    <w:p w14:paraId="7D762C0D" w14:textId="77777777" w:rsidR="00EA4471" w:rsidRDefault="00EA4471" w:rsidP="00EA4471">
      <w:pPr>
        <w:pStyle w:val="BodyTextIndent3"/>
        <w:spacing w:line="276" w:lineRule="auto"/>
        <w:ind w:left="357" w:firstLine="0"/>
        <w:jc w:val="center"/>
        <w:rPr>
          <w:color w:val="000000"/>
        </w:rPr>
      </w:pPr>
      <w:r>
        <w:rPr>
          <w:color w:val="000000"/>
        </w:rPr>
        <w:t xml:space="preserve">Format for furnishing information regarding determining capacity of </w:t>
      </w:r>
    </w:p>
    <w:p w14:paraId="3984DAB2" w14:textId="7342C6EF" w:rsidR="00EA4471" w:rsidRDefault="00EA4471" w:rsidP="00EA4471">
      <w:pPr>
        <w:pStyle w:val="BodyTextIndent3"/>
        <w:spacing w:line="276" w:lineRule="auto"/>
        <w:ind w:left="357" w:firstLine="0"/>
        <w:jc w:val="center"/>
        <w:rPr>
          <w:color w:val="000000"/>
        </w:rPr>
      </w:pPr>
      <w:r>
        <w:rPr>
          <w:color w:val="000000"/>
        </w:rPr>
        <w:t>Natural Gas Pipeline</w:t>
      </w:r>
    </w:p>
    <w:p w14:paraId="63D6C3D2" w14:textId="43DA099E" w:rsidR="002C1438" w:rsidRPr="002C1438" w:rsidRDefault="002C1438" w:rsidP="00EA4471">
      <w:pPr>
        <w:pStyle w:val="BodyTextIndent3"/>
        <w:spacing w:line="276" w:lineRule="auto"/>
        <w:ind w:left="357" w:firstLine="0"/>
        <w:jc w:val="center"/>
        <w:rPr>
          <w:color w:val="000000"/>
        </w:rPr>
      </w:pPr>
      <w:r>
        <w:rPr>
          <w:rStyle w:val="FootnoteReference"/>
          <w:color w:val="000000"/>
        </w:rPr>
        <w:footnoteReference w:id="21"/>
      </w:r>
      <w:r>
        <w:rPr>
          <w:color w:val="000000"/>
        </w:rPr>
        <w:t>[</w:t>
      </w:r>
      <w:r>
        <w:t>Financial Year: 20…. - 20….</w:t>
      </w:r>
      <w:r>
        <w:rPr>
          <w:color w:val="000000"/>
        </w:rPr>
        <w:t>]</w:t>
      </w:r>
    </w:p>
    <w:p w14:paraId="38C6AEC3" w14:textId="77777777" w:rsidR="00EA4471" w:rsidRDefault="00EA4471" w:rsidP="00EA4471">
      <w:pPr>
        <w:pStyle w:val="BodyTextIndent3"/>
        <w:spacing w:line="276" w:lineRule="auto"/>
        <w:ind w:left="284" w:firstLine="0"/>
        <w:jc w:val="center"/>
        <w:rPr>
          <w:color w:val="000000"/>
        </w:rPr>
      </w:pPr>
    </w:p>
    <w:tbl>
      <w:tblPr>
        <w:tblW w:w="0" w:type="auto"/>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20"/>
        <w:gridCol w:w="6548"/>
        <w:gridCol w:w="1380"/>
      </w:tblGrid>
      <w:tr w:rsidR="00EA4471" w14:paraId="79BF790B" w14:textId="77777777" w:rsidTr="00EA4471">
        <w:tc>
          <w:tcPr>
            <w:tcW w:w="633" w:type="dxa"/>
            <w:tcBorders>
              <w:top w:val="single" w:sz="4" w:space="0" w:color="000000"/>
              <w:left w:val="single" w:sz="4" w:space="0" w:color="000000"/>
              <w:bottom w:val="single" w:sz="4" w:space="0" w:color="000000"/>
              <w:right w:val="single" w:sz="4" w:space="0" w:color="000000"/>
            </w:tcBorders>
            <w:hideMark/>
          </w:tcPr>
          <w:p w14:paraId="392B4F59" w14:textId="77777777" w:rsidR="00EA4471" w:rsidRDefault="00EA4471">
            <w:pPr>
              <w:pStyle w:val="BodyTextIndent3"/>
              <w:spacing w:line="276" w:lineRule="auto"/>
              <w:ind w:left="0" w:firstLine="0"/>
              <w:rPr>
                <w:color w:val="000000"/>
              </w:rPr>
            </w:pPr>
            <w:r>
              <w:rPr>
                <w:color w:val="000000"/>
              </w:rPr>
              <w:t>1</w:t>
            </w:r>
          </w:p>
        </w:tc>
        <w:tc>
          <w:tcPr>
            <w:tcW w:w="6927" w:type="dxa"/>
            <w:tcBorders>
              <w:top w:val="single" w:sz="4" w:space="0" w:color="000000"/>
              <w:left w:val="single" w:sz="4" w:space="0" w:color="000000"/>
              <w:bottom w:val="single" w:sz="4" w:space="0" w:color="000000"/>
              <w:right w:val="single" w:sz="4" w:space="0" w:color="000000"/>
            </w:tcBorders>
            <w:hideMark/>
          </w:tcPr>
          <w:p w14:paraId="4D8FE15F" w14:textId="77777777" w:rsidR="00EA4471" w:rsidRDefault="00EA4471">
            <w:pPr>
              <w:pStyle w:val="BodyTextIndent3"/>
              <w:spacing w:line="276" w:lineRule="auto"/>
              <w:ind w:left="0" w:firstLine="0"/>
              <w:rPr>
                <w:color w:val="000000"/>
              </w:rPr>
            </w:pPr>
            <w:r>
              <w:rPr>
                <w:color w:val="000000"/>
              </w:rPr>
              <w:t>Name of Entity</w:t>
            </w:r>
          </w:p>
        </w:tc>
        <w:tc>
          <w:tcPr>
            <w:tcW w:w="1436" w:type="dxa"/>
            <w:tcBorders>
              <w:top w:val="single" w:sz="4" w:space="0" w:color="000000"/>
              <w:left w:val="single" w:sz="4" w:space="0" w:color="000000"/>
              <w:bottom w:val="single" w:sz="4" w:space="0" w:color="000000"/>
              <w:right w:val="single" w:sz="4" w:space="0" w:color="000000"/>
            </w:tcBorders>
          </w:tcPr>
          <w:p w14:paraId="23C5E3C3" w14:textId="77777777" w:rsidR="00EA4471" w:rsidRDefault="00EA4471">
            <w:pPr>
              <w:pStyle w:val="BodyTextIndent3"/>
              <w:spacing w:line="276" w:lineRule="auto"/>
              <w:ind w:left="0" w:firstLine="0"/>
              <w:rPr>
                <w:color w:val="000000"/>
              </w:rPr>
            </w:pPr>
          </w:p>
        </w:tc>
      </w:tr>
      <w:tr w:rsidR="00EA4471" w14:paraId="335DF3D6" w14:textId="77777777" w:rsidTr="00EA4471">
        <w:tc>
          <w:tcPr>
            <w:tcW w:w="633" w:type="dxa"/>
            <w:tcBorders>
              <w:top w:val="single" w:sz="4" w:space="0" w:color="000000"/>
              <w:left w:val="single" w:sz="4" w:space="0" w:color="000000"/>
              <w:bottom w:val="single" w:sz="4" w:space="0" w:color="000000"/>
              <w:right w:val="single" w:sz="4" w:space="0" w:color="000000"/>
            </w:tcBorders>
            <w:hideMark/>
          </w:tcPr>
          <w:p w14:paraId="41938698" w14:textId="77777777" w:rsidR="00EA4471" w:rsidRDefault="00EA4471">
            <w:pPr>
              <w:pStyle w:val="BodyTextIndent3"/>
              <w:spacing w:line="276" w:lineRule="auto"/>
              <w:ind w:left="0" w:firstLine="0"/>
              <w:rPr>
                <w:color w:val="000000"/>
              </w:rPr>
            </w:pPr>
            <w:r>
              <w:rPr>
                <w:color w:val="000000"/>
              </w:rPr>
              <w:t>2</w:t>
            </w:r>
          </w:p>
        </w:tc>
        <w:tc>
          <w:tcPr>
            <w:tcW w:w="6927" w:type="dxa"/>
            <w:tcBorders>
              <w:top w:val="single" w:sz="4" w:space="0" w:color="000000"/>
              <w:left w:val="single" w:sz="4" w:space="0" w:color="000000"/>
              <w:bottom w:val="single" w:sz="4" w:space="0" w:color="000000"/>
              <w:right w:val="single" w:sz="4" w:space="0" w:color="000000"/>
            </w:tcBorders>
            <w:hideMark/>
          </w:tcPr>
          <w:p w14:paraId="539F48C3" w14:textId="77777777" w:rsidR="00EA4471" w:rsidRDefault="00EA4471">
            <w:pPr>
              <w:pStyle w:val="BodyTextIndent3"/>
              <w:spacing w:line="276" w:lineRule="auto"/>
              <w:ind w:left="0" w:firstLine="0"/>
              <w:rPr>
                <w:color w:val="000000"/>
              </w:rPr>
            </w:pPr>
            <w:r>
              <w:rPr>
                <w:color w:val="000000"/>
              </w:rPr>
              <w:t>Address &amp; Contact details of Entity</w:t>
            </w:r>
          </w:p>
        </w:tc>
        <w:tc>
          <w:tcPr>
            <w:tcW w:w="1436" w:type="dxa"/>
            <w:tcBorders>
              <w:top w:val="single" w:sz="4" w:space="0" w:color="000000"/>
              <w:left w:val="single" w:sz="4" w:space="0" w:color="000000"/>
              <w:bottom w:val="single" w:sz="4" w:space="0" w:color="000000"/>
              <w:right w:val="single" w:sz="4" w:space="0" w:color="000000"/>
            </w:tcBorders>
          </w:tcPr>
          <w:p w14:paraId="20B74EFD" w14:textId="77777777" w:rsidR="00EA4471" w:rsidRDefault="00EA4471">
            <w:pPr>
              <w:pStyle w:val="BodyTextIndent3"/>
              <w:spacing w:line="276" w:lineRule="auto"/>
              <w:ind w:left="0" w:firstLine="0"/>
              <w:jc w:val="center"/>
              <w:rPr>
                <w:color w:val="000000"/>
              </w:rPr>
            </w:pPr>
          </w:p>
        </w:tc>
      </w:tr>
      <w:tr w:rsidR="00EA4471" w14:paraId="6A99E3BC" w14:textId="77777777" w:rsidTr="00EA4471">
        <w:tc>
          <w:tcPr>
            <w:tcW w:w="633" w:type="dxa"/>
            <w:tcBorders>
              <w:top w:val="single" w:sz="4" w:space="0" w:color="000000"/>
              <w:left w:val="single" w:sz="4" w:space="0" w:color="000000"/>
              <w:bottom w:val="single" w:sz="4" w:space="0" w:color="000000"/>
              <w:right w:val="single" w:sz="4" w:space="0" w:color="000000"/>
            </w:tcBorders>
            <w:hideMark/>
          </w:tcPr>
          <w:p w14:paraId="36602DDD" w14:textId="77777777" w:rsidR="00EA4471" w:rsidRDefault="00EA4471">
            <w:pPr>
              <w:pStyle w:val="BodyTextIndent3"/>
              <w:spacing w:line="276" w:lineRule="auto"/>
              <w:ind w:left="0" w:firstLine="0"/>
              <w:rPr>
                <w:color w:val="000000"/>
              </w:rPr>
            </w:pPr>
            <w:r>
              <w:rPr>
                <w:color w:val="000000"/>
              </w:rPr>
              <w:t>3</w:t>
            </w:r>
          </w:p>
        </w:tc>
        <w:tc>
          <w:tcPr>
            <w:tcW w:w="6927" w:type="dxa"/>
            <w:tcBorders>
              <w:top w:val="single" w:sz="4" w:space="0" w:color="000000"/>
              <w:left w:val="single" w:sz="4" w:space="0" w:color="000000"/>
              <w:bottom w:val="single" w:sz="4" w:space="0" w:color="000000"/>
              <w:right w:val="single" w:sz="4" w:space="0" w:color="000000"/>
            </w:tcBorders>
            <w:hideMark/>
          </w:tcPr>
          <w:p w14:paraId="22CC37F3" w14:textId="77777777" w:rsidR="00EA4471" w:rsidRDefault="00EA4471">
            <w:pPr>
              <w:pStyle w:val="BodyTextIndent3"/>
              <w:spacing w:line="276" w:lineRule="auto"/>
              <w:ind w:left="0" w:firstLine="0"/>
              <w:rPr>
                <w:color w:val="000000"/>
              </w:rPr>
            </w:pPr>
            <w:r>
              <w:rPr>
                <w:color w:val="000000"/>
              </w:rPr>
              <w:t xml:space="preserve">Name of Natural Gas Pipeline </w:t>
            </w:r>
          </w:p>
        </w:tc>
        <w:tc>
          <w:tcPr>
            <w:tcW w:w="1436" w:type="dxa"/>
            <w:tcBorders>
              <w:top w:val="single" w:sz="4" w:space="0" w:color="000000"/>
              <w:left w:val="single" w:sz="4" w:space="0" w:color="000000"/>
              <w:bottom w:val="single" w:sz="4" w:space="0" w:color="000000"/>
              <w:right w:val="single" w:sz="4" w:space="0" w:color="000000"/>
            </w:tcBorders>
          </w:tcPr>
          <w:p w14:paraId="0F8B35C1" w14:textId="77777777" w:rsidR="00EA4471" w:rsidRDefault="00EA4471">
            <w:pPr>
              <w:pStyle w:val="BodyTextIndent3"/>
              <w:spacing w:line="276" w:lineRule="auto"/>
              <w:ind w:left="0" w:firstLine="0"/>
              <w:jc w:val="center"/>
              <w:rPr>
                <w:color w:val="000000"/>
              </w:rPr>
            </w:pPr>
          </w:p>
        </w:tc>
      </w:tr>
      <w:tr w:rsidR="00EA4471" w14:paraId="2E14C079" w14:textId="77777777" w:rsidTr="00EA4471">
        <w:tc>
          <w:tcPr>
            <w:tcW w:w="633" w:type="dxa"/>
            <w:tcBorders>
              <w:top w:val="single" w:sz="4" w:space="0" w:color="000000"/>
              <w:left w:val="single" w:sz="4" w:space="0" w:color="000000"/>
              <w:bottom w:val="single" w:sz="4" w:space="0" w:color="000000"/>
              <w:right w:val="single" w:sz="4" w:space="0" w:color="000000"/>
            </w:tcBorders>
            <w:hideMark/>
          </w:tcPr>
          <w:p w14:paraId="2CC28D19" w14:textId="77777777" w:rsidR="00EA4471" w:rsidRDefault="00EA4471">
            <w:pPr>
              <w:pStyle w:val="BodyTextIndent3"/>
              <w:spacing w:line="276" w:lineRule="auto"/>
              <w:ind w:left="0" w:firstLine="0"/>
              <w:rPr>
                <w:color w:val="000000"/>
              </w:rPr>
            </w:pPr>
            <w:r>
              <w:rPr>
                <w:color w:val="000000"/>
              </w:rPr>
              <w:t>4</w:t>
            </w:r>
          </w:p>
        </w:tc>
        <w:tc>
          <w:tcPr>
            <w:tcW w:w="6927" w:type="dxa"/>
            <w:tcBorders>
              <w:top w:val="single" w:sz="4" w:space="0" w:color="000000"/>
              <w:left w:val="single" w:sz="4" w:space="0" w:color="000000"/>
              <w:bottom w:val="single" w:sz="4" w:space="0" w:color="000000"/>
              <w:right w:val="single" w:sz="4" w:space="0" w:color="000000"/>
            </w:tcBorders>
            <w:hideMark/>
          </w:tcPr>
          <w:p w14:paraId="3EABBDD7" w14:textId="77777777" w:rsidR="00EA4471" w:rsidRDefault="00EA4471">
            <w:pPr>
              <w:pStyle w:val="BodyTextIndent3"/>
              <w:spacing w:line="276" w:lineRule="auto"/>
              <w:ind w:left="0" w:firstLine="0"/>
              <w:rPr>
                <w:color w:val="000000"/>
              </w:rPr>
            </w:pPr>
            <w:r>
              <w:rPr>
                <w:color w:val="000000"/>
              </w:rPr>
              <w:t>Name of Software package used</w:t>
            </w:r>
          </w:p>
        </w:tc>
        <w:tc>
          <w:tcPr>
            <w:tcW w:w="1436" w:type="dxa"/>
            <w:tcBorders>
              <w:top w:val="single" w:sz="4" w:space="0" w:color="000000"/>
              <w:left w:val="single" w:sz="4" w:space="0" w:color="000000"/>
              <w:bottom w:val="single" w:sz="4" w:space="0" w:color="000000"/>
              <w:right w:val="single" w:sz="4" w:space="0" w:color="000000"/>
            </w:tcBorders>
          </w:tcPr>
          <w:p w14:paraId="5D9EBF10" w14:textId="77777777" w:rsidR="00EA4471" w:rsidRDefault="00EA4471">
            <w:pPr>
              <w:pStyle w:val="BodyTextIndent3"/>
              <w:spacing w:line="276" w:lineRule="auto"/>
              <w:ind w:left="0" w:firstLine="0"/>
              <w:jc w:val="center"/>
              <w:rPr>
                <w:color w:val="000000"/>
              </w:rPr>
            </w:pPr>
          </w:p>
        </w:tc>
      </w:tr>
      <w:tr w:rsidR="00EA4471" w14:paraId="2B0FFEC5" w14:textId="77777777" w:rsidTr="00EA4471">
        <w:tc>
          <w:tcPr>
            <w:tcW w:w="633" w:type="dxa"/>
            <w:tcBorders>
              <w:top w:val="single" w:sz="4" w:space="0" w:color="000000"/>
              <w:left w:val="single" w:sz="4" w:space="0" w:color="000000"/>
              <w:bottom w:val="single" w:sz="4" w:space="0" w:color="000000"/>
              <w:right w:val="single" w:sz="4" w:space="0" w:color="000000"/>
            </w:tcBorders>
            <w:hideMark/>
          </w:tcPr>
          <w:p w14:paraId="6D28BEDE" w14:textId="77777777" w:rsidR="00EA4471" w:rsidRDefault="00EA4471">
            <w:pPr>
              <w:pStyle w:val="BodyTextIndent3"/>
              <w:spacing w:line="276" w:lineRule="auto"/>
              <w:ind w:left="0" w:firstLine="0"/>
              <w:rPr>
                <w:color w:val="000000"/>
              </w:rPr>
            </w:pPr>
            <w:r>
              <w:rPr>
                <w:color w:val="000000"/>
              </w:rPr>
              <w:t>5</w:t>
            </w:r>
          </w:p>
        </w:tc>
        <w:tc>
          <w:tcPr>
            <w:tcW w:w="6927" w:type="dxa"/>
            <w:tcBorders>
              <w:top w:val="single" w:sz="4" w:space="0" w:color="000000"/>
              <w:left w:val="single" w:sz="4" w:space="0" w:color="000000"/>
              <w:bottom w:val="single" w:sz="4" w:space="0" w:color="000000"/>
              <w:right w:val="single" w:sz="4" w:space="0" w:color="000000"/>
            </w:tcBorders>
            <w:hideMark/>
          </w:tcPr>
          <w:p w14:paraId="4F2F2D7A" w14:textId="77777777" w:rsidR="00EA4471" w:rsidRDefault="00EA4471">
            <w:pPr>
              <w:pStyle w:val="BodyTextIndent3"/>
              <w:spacing w:line="276" w:lineRule="auto"/>
              <w:ind w:left="0" w:firstLine="0"/>
              <w:rPr>
                <w:color w:val="000000"/>
              </w:rPr>
            </w:pPr>
            <w:r>
              <w:rPr>
                <w:color w:val="000000"/>
              </w:rPr>
              <w:t>Approved Flow equation used (mention name of flow equation)</w:t>
            </w:r>
          </w:p>
        </w:tc>
        <w:tc>
          <w:tcPr>
            <w:tcW w:w="1436" w:type="dxa"/>
            <w:tcBorders>
              <w:top w:val="single" w:sz="4" w:space="0" w:color="000000"/>
              <w:left w:val="single" w:sz="4" w:space="0" w:color="000000"/>
              <w:bottom w:val="single" w:sz="4" w:space="0" w:color="000000"/>
              <w:right w:val="single" w:sz="4" w:space="0" w:color="000000"/>
            </w:tcBorders>
          </w:tcPr>
          <w:p w14:paraId="5FF091A3" w14:textId="77777777" w:rsidR="00EA4471" w:rsidRDefault="00EA4471">
            <w:pPr>
              <w:pStyle w:val="BodyTextIndent3"/>
              <w:spacing w:line="276" w:lineRule="auto"/>
              <w:ind w:left="0" w:firstLine="0"/>
              <w:jc w:val="center"/>
              <w:rPr>
                <w:color w:val="000000"/>
              </w:rPr>
            </w:pPr>
          </w:p>
        </w:tc>
      </w:tr>
      <w:tr w:rsidR="00EA4471" w14:paraId="40247DE5" w14:textId="77777777" w:rsidTr="00EA4471">
        <w:tc>
          <w:tcPr>
            <w:tcW w:w="633" w:type="dxa"/>
            <w:tcBorders>
              <w:top w:val="single" w:sz="4" w:space="0" w:color="000000"/>
              <w:left w:val="single" w:sz="4" w:space="0" w:color="000000"/>
              <w:bottom w:val="single" w:sz="4" w:space="0" w:color="000000"/>
              <w:right w:val="single" w:sz="4" w:space="0" w:color="000000"/>
            </w:tcBorders>
            <w:hideMark/>
          </w:tcPr>
          <w:p w14:paraId="1FAD9C44" w14:textId="77777777" w:rsidR="00EA4471" w:rsidRDefault="00EA4471">
            <w:pPr>
              <w:pStyle w:val="BodyTextIndent3"/>
              <w:spacing w:line="276" w:lineRule="auto"/>
              <w:ind w:left="0" w:firstLine="0"/>
              <w:rPr>
                <w:color w:val="000000"/>
              </w:rPr>
            </w:pPr>
            <w:bookmarkStart w:id="11" w:name="_Hlk249710120"/>
            <w:r>
              <w:rPr>
                <w:color w:val="000000"/>
              </w:rPr>
              <w:t>6</w:t>
            </w:r>
          </w:p>
        </w:tc>
        <w:tc>
          <w:tcPr>
            <w:tcW w:w="6927" w:type="dxa"/>
            <w:tcBorders>
              <w:top w:val="single" w:sz="4" w:space="0" w:color="000000"/>
              <w:left w:val="single" w:sz="4" w:space="0" w:color="000000"/>
              <w:bottom w:val="single" w:sz="4" w:space="0" w:color="000000"/>
              <w:right w:val="single" w:sz="4" w:space="0" w:color="000000"/>
            </w:tcBorders>
            <w:hideMark/>
          </w:tcPr>
          <w:p w14:paraId="6250A83B" w14:textId="77777777" w:rsidR="00EA4471" w:rsidRDefault="00EA4471">
            <w:pPr>
              <w:pStyle w:val="BodyTextIndent3"/>
              <w:spacing w:line="276" w:lineRule="auto"/>
              <w:ind w:left="0" w:firstLine="0"/>
              <w:rPr>
                <w:color w:val="000000"/>
              </w:rPr>
            </w:pPr>
            <w:r>
              <w:rPr>
                <w:color w:val="000000"/>
              </w:rPr>
              <w:t>Details of injection/entry point and delivery/exit points and sections on the pipeline</w:t>
            </w:r>
          </w:p>
        </w:tc>
        <w:tc>
          <w:tcPr>
            <w:tcW w:w="1436" w:type="dxa"/>
            <w:tcBorders>
              <w:top w:val="single" w:sz="4" w:space="0" w:color="000000"/>
              <w:left w:val="single" w:sz="4" w:space="0" w:color="000000"/>
              <w:bottom w:val="single" w:sz="4" w:space="0" w:color="000000"/>
              <w:right w:val="single" w:sz="4" w:space="0" w:color="000000"/>
            </w:tcBorders>
          </w:tcPr>
          <w:p w14:paraId="4B52BCDE" w14:textId="77777777" w:rsidR="00EA4471" w:rsidRDefault="00EA4471">
            <w:pPr>
              <w:pStyle w:val="BodyTextIndent3"/>
              <w:spacing w:line="276" w:lineRule="auto"/>
              <w:ind w:left="0" w:firstLine="0"/>
              <w:jc w:val="center"/>
              <w:rPr>
                <w:color w:val="000000"/>
              </w:rPr>
            </w:pPr>
          </w:p>
        </w:tc>
        <w:bookmarkEnd w:id="11"/>
      </w:tr>
      <w:tr w:rsidR="00EA4471" w14:paraId="1FC16E52" w14:textId="77777777" w:rsidTr="00EA4471">
        <w:tc>
          <w:tcPr>
            <w:tcW w:w="633" w:type="dxa"/>
            <w:tcBorders>
              <w:top w:val="single" w:sz="4" w:space="0" w:color="000000"/>
              <w:left w:val="single" w:sz="4" w:space="0" w:color="000000"/>
              <w:bottom w:val="single" w:sz="4" w:space="0" w:color="000000"/>
              <w:right w:val="single" w:sz="4" w:space="0" w:color="000000"/>
            </w:tcBorders>
            <w:hideMark/>
          </w:tcPr>
          <w:p w14:paraId="52FE8D96" w14:textId="77777777" w:rsidR="00EA4471" w:rsidRDefault="00EA4471">
            <w:pPr>
              <w:pStyle w:val="BodyTextIndent3"/>
              <w:spacing w:line="276" w:lineRule="auto"/>
              <w:ind w:left="0" w:firstLine="0"/>
              <w:rPr>
                <w:color w:val="000000"/>
              </w:rPr>
            </w:pPr>
            <w:r>
              <w:rPr>
                <w:color w:val="000000"/>
              </w:rPr>
              <w:t>7</w:t>
            </w:r>
          </w:p>
        </w:tc>
        <w:tc>
          <w:tcPr>
            <w:tcW w:w="6927" w:type="dxa"/>
            <w:tcBorders>
              <w:top w:val="single" w:sz="4" w:space="0" w:color="000000"/>
              <w:left w:val="single" w:sz="4" w:space="0" w:color="000000"/>
              <w:bottom w:val="single" w:sz="4" w:space="0" w:color="000000"/>
              <w:right w:val="single" w:sz="4" w:space="0" w:color="000000"/>
            </w:tcBorders>
            <w:hideMark/>
          </w:tcPr>
          <w:p w14:paraId="0A8A93B4" w14:textId="77777777" w:rsidR="00EA4471" w:rsidRDefault="00EA4471">
            <w:pPr>
              <w:pStyle w:val="BodyTextIndent3"/>
              <w:spacing w:line="276" w:lineRule="auto"/>
              <w:ind w:left="0" w:firstLine="0"/>
              <w:rPr>
                <w:color w:val="000000"/>
              </w:rPr>
            </w:pPr>
            <w:r>
              <w:rPr>
                <w:color w:val="000000"/>
              </w:rPr>
              <w:t>Composition of natural gas</w:t>
            </w:r>
          </w:p>
        </w:tc>
        <w:tc>
          <w:tcPr>
            <w:tcW w:w="1436" w:type="dxa"/>
            <w:tcBorders>
              <w:top w:val="single" w:sz="4" w:space="0" w:color="000000"/>
              <w:left w:val="single" w:sz="4" w:space="0" w:color="000000"/>
              <w:bottom w:val="single" w:sz="4" w:space="0" w:color="000000"/>
              <w:right w:val="single" w:sz="4" w:space="0" w:color="000000"/>
            </w:tcBorders>
          </w:tcPr>
          <w:p w14:paraId="01511C90" w14:textId="77777777" w:rsidR="00EA4471" w:rsidRDefault="00EA4471">
            <w:pPr>
              <w:pStyle w:val="BodyTextIndent3"/>
              <w:spacing w:line="276" w:lineRule="auto"/>
              <w:ind w:left="0" w:firstLine="0"/>
              <w:jc w:val="center"/>
              <w:rPr>
                <w:color w:val="000000"/>
              </w:rPr>
            </w:pPr>
          </w:p>
        </w:tc>
      </w:tr>
      <w:tr w:rsidR="00EA4471" w14:paraId="6C73C11B" w14:textId="77777777" w:rsidTr="00EA4471">
        <w:tc>
          <w:tcPr>
            <w:tcW w:w="633" w:type="dxa"/>
            <w:tcBorders>
              <w:top w:val="single" w:sz="4" w:space="0" w:color="000000"/>
              <w:left w:val="single" w:sz="4" w:space="0" w:color="000000"/>
              <w:bottom w:val="single" w:sz="4" w:space="0" w:color="000000"/>
              <w:right w:val="single" w:sz="4" w:space="0" w:color="000000"/>
            </w:tcBorders>
            <w:hideMark/>
          </w:tcPr>
          <w:p w14:paraId="5AB2077F" w14:textId="77777777" w:rsidR="00EA4471" w:rsidRDefault="00EA4471">
            <w:pPr>
              <w:pStyle w:val="BodyTextIndent3"/>
              <w:spacing w:line="276" w:lineRule="auto"/>
              <w:ind w:left="0" w:firstLine="0"/>
              <w:rPr>
                <w:color w:val="000000"/>
              </w:rPr>
            </w:pPr>
            <w:r>
              <w:rPr>
                <w:color w:val="000000"/>
              </w:rPr>
              <w:t>8</w:t>
            </w:r>
          </w:p>
        </w:tc>
        <w:tc>
          <w:tcPr>
            <w:tcW w:w="6927" w:type="dxa"/>
            <w:tcBorders>
              <w:top w:val="single" w:sz="4" w:space="0" w:color="000000"/>
              <w:left w:val="single" w:sz="4" w:space="0" w:color="000000"/>
              <w:bottom w:val="single" w:sz="4" w:space="0" w:color="000000"/>
              <w:right w:val="single" w:sz="4" w:space="0" w:color="000000"/>
            </w:tcBorders>
            <w:hideMark/>
          </w:tcPr>
          <w:p w14:paraId="7AD671F5" w14:textId="77777777" w:rsidR="00EA4471" w:rsidRDefault="00EA4471">
            <w:pPr>
              <w:pStyle w:val="BodyTextIndent3"/>
              <w:spacing w:line="276" w:lineRule="auto"/>
              <w:ind w:left="0" w:firstLine="0"/>
              <w:rPr>
                <w:color w:val="000000"/>
              </w:rPr>
            </w:pPr>
            <w:r>
              <w:rPr>
                <w:color w:val="000000"/>
              </w:rPr>
              <w:t xml:space="preserve">Entity agrees to have considered the Technical standards, specifications and safety standards as specified by the Board </w:t>
            </w:r>
          </w:p>
        </w:tc>
        <w:tc>
          <w:tcPr>
            <w:tcW w:w="1436" w:type="dxa"/>
            <w:tcBorders>
              <w:top w:val="single" w:sz="4" w:space="0" w:color="000000"/>
              <w:left w:val="single" w:sz="4" w:space="0" w:color="000000"/>
              <w:bottom w:val="single" w:sz="4" w:space="0" w:color="000000"/>
              <w:right w:val="single" w:sz="4" w:space="0" w:color="000000"/>
            </w:tcBorders>
            <w:hideMark/>
          </w:tcPr>
          <w:p w14:paraId="0FDEABDC" w14:textId="77777777" w:rsidR="00EA4471" w:rsidRDefault="00EA4471">
            <w:pPr>
              <w:pStyle w:val="BodyTextIndent3"/>
              <w:spacing w:line="276" w:lineRule="auto"/>
              <w:ind w:left="0" w:firstLine="0"/>
              <w:jc w:val="center"/>
              <w:rPr>
                <w:color w:val="000000"/>
              </w:rPr>
            </w:pPr>
            <w:r>
              <w:rPr>
                <w:color w:val="000000"/>
              </w:rPr>
              <w:t>Yes/ No</w:t>
            </w:r>
          </w:p>
        </w:tc>
      </w:tr>
      <w:tr w:rsidR="00EA4471" w14:paraId="77B017FE" w14:textId="77777777" w:rsidTr="00EA4471">
        <w:tc>
          <w:tcPr>
            <w:tcW w:w="633" w:type="dxa"/>
            <w:tcBorders>
              <w:top w:val="single" w:sz="4" w:space="0" w:color="000000"/>
              <w:left w:val="single" w:sz="4" w:space="0" w:color="000000"/>
              <w:bottom w:val="single" w:sz="4" w:space="0" w:color="000000"/>
              <w:right w:val="single" w:sz="4" w:space="0" w:color="000000"/>
            </w:tcBorders>
            <w:hideMark/>
          </w:tcPr>
          <w:p w14:paraId="2FC40CC4" w14:textId="77777777" w:rsidR="00EA4471" w:rsidRDefault="00EA4471">
            <w:pPr>
              <w:pStyle w:val="BodyTextIndent3"/>
              <w:spacing w:line="276" w:lineRule="auto"/>
              <w:ind w:left="0" w:firstLine="0"/>
              <w:rPr>
                <w:color w:val="000000"/>
              </w:rPr>
            </w:pPr>
            <w:bookmarkStart w:id="12" w:name="_Hlk249710245"/>
            <w:r>
              <w:rPr>
                <w:color w:val="000000"/>
              </w:rPr>
              <w:t>9</w:t>
            </w:r>
          </w:p>
        </w:tc>
        <w:tc>
          <w:tcPr>
            <w:tcW w:w="6927" w:type="dxa"/>
            <w:tcBorders>
              <w:top w:val="single" w:sz="4" w:space="0" w:color="000000"/>
              <w:left w:val="single" w:sz="4" w:space="0" w:color="000000"/>
              <w:bottom w:val="single" w:sz="4" w:space="0" w:color="000000"/>
              <w:right w:val="single" w:sz="4" w:space="0" w:color="000000"/>
            </w:tcBorders>
            <w:hideMark/>
          </w:tcPr>
          <w:p w14:paraId="0F2A7AAC" w14:textId="77777777" w:rsidR="00EA4471" w:rsidRDefault="00EA4471">
            <w:pPr>
              <w:pStyle w:val="BodyTextIndent3"/>
              <w:spacing w:line="276" w:lineRule="auto"/>
              <w:ind w:left="0" w:firstLine="0"/>
              <w:rPr>
                <w:color w:val="000000"/>
              </w:rPr>
            </w:pPr>
            <w:r>
              <w:rPr>
                <w:color w:val="000000"/>
              </w:rPr>
              <w:t>Entity agrees to have considered the relevant provisions of Petroleum and Natural Gas Regulatory Board Regulations</w:t>
            </w:r>
          </w:p>
        </w:tc>
        <w:tc>
          <w:tcPr>
            <w:tcW w:w="1436" w:type="dxa"/>
            <w:tcBorders>
              <w:top w:val="single" w:sz="4" w:space="0" w:color="000000"/>
              <w:left w:val="single" w:sz="4" w:space="0" w:color="000000"/>
              <w:bottom w:val="single" w:sz="4" w:space="0" w:color="000000"/>
              <w:right w:val="single" w:sz="4" w:space="0" w:color="000000"/>
            </w:tcBorders>
            <w:hideMark/>
          </w:tcPr>
          <w:p w14:paraId="6BB0C630" w14:textId="77777777" w:rsidR="00EA4471" w:rsidRDefault="00EA4471">
            <w:pPr>
              <w:pStyle w:val="BodyTextIndent3"/>
              <w:spacing w:line="276" w:lineRule="auto"/>
              <w:ind w:left="0" w:firstLine="0"/>
              <w:jc w:val="center"/>
              <w:rPr>
                <w:color w:val="000000"/>
              </w:rPr>
            </w:pPr>
            <w:r>
              <w:rPr>
                <w:color w:val="000000"/>
              </w:rPr>
              <w:t>Yes/ No</w:t>
            </w:r>
          </w:p>
        </w:tc>
        <w:bookmarkEnd w:id="12"/>
      </w:tr>
      <w:tr w:rsidR="00EA4471" w14:paraId="27D60A0C" w14:textId="77777777" w:rsidTr="00EA4471">
        <w:tc>
          <w:tcPr>
            <w:tcW w:w="633" w:type="dxa"/>
            <w:tcBorders>
              <w:top w:val="single" w:sz="4" w:space="0" w:color="000000"/>
              <w:left w:val="single" w:sz="4" w:space="0" w:color="000000"/>
              <w:bottom w:val="single" w:sz="4" w:space="0" w:color="000000"/>
              <w:right w:val="single" w:sz="4" w:space="0" w:color="000000"/>
            </w:tcBorders>
            <w:hideMark/>
          </w:tcPr>
          <w:p w14:paraId="39957584" w14:textId="77777777" w:rsidR="00EA4471" w:rsidRDefault="00EA4471">
            <w:pPr>
              <w:pStyle w:val="BodyTextIndent3"/>
              <w:spacing w:line="276" w:lineRule="auto"/>
              <w:ind w:left="0" w:firstLine="0"/>
              <w:rPr>
                <w:color w:val="000000"/>
              </w:rPr>
            </w:pPr>
            <w:r>
              <w:rPr>
                <w:color w:val="000000"/>
              </w:rPr>
              <w:t>10</w:t>
            </w:r>
          </w:p>
        </w:tc>
        <w:tc>
          <w:tcPr>
            <w:tcW w:w="6927" w:type="dxa"/>
            <w:tcBorders>
              <w:top w:val="single" w:sz="4" w:space="0" w:color="000000"/>
              <w:left w:val="single" w:sz="4" w:space="0" w:color="000000"/>
              <w:bottom w:val="single" w:sz="4" w:space="0" w:color="000000"/>
              <w:right w:val="single" w:sz="4" w:space="0" w:color="000000"/>
            </w:tcBorders>
            <w:hideMark/>
          </w:tcPr>
          <w:p w14:paraId="35CA27BD" w14:textId="77777777" w:rsidR="00EA4471" w:rsidRDefault="00EA4471">
            <w:pPr>
              <w:pStyle w:val="BodyTextIndent3"/>
              <w:spacing w:line="276" w:lineRule="auto"/>
              <w:ind w:left="0" w:firstLine="0"/>
              <w:rPr>
                <w:color w:val="000000"/>
              </w:rPr>
            </w:pPr>
            <w:r>
              <w:rPr>
                <w:color w:val="000000"/>
              </w:rPr>
              <w:t>Constant and variable parameters used under steady state conditions for determining capacity of the pipeline</w:t>
            </w:r>
          </w:p>
        </w:tc>
        <w:tc>
          <w:tcPr>
            <w:tcW w:w="1436" w:type="dxa"/>
            <w:tcBorders>
              <w:top w:val="single" w:sz="4" w:space="0" w:color="000000"/>
              <w:left w:val="single" w:sz="4" w:space="0" w:color="000000"/>
              <w:bottom w:val="single" w:sz="4" w:space="0" w:color="000000"/>
              <w:right w:val="single" w:sz="4" w:space="0" w:color="000000"/>
            </w:tcBorders>
          </w:tcPr>
          <w:p w14:paraId="27634EE2" w14:textId="77777777" w:rsidR="00EA4471" w:rsidRDefault="00EA4471">
            <w:pPr>
              <w:pStyle w:val="BodyTextIndent3"/>
              <w:spacing w:line="276" w:lineRule="auto"/>
              <w:ind w:left="0" w:firstLine="0"/>
              <w:jc w:val="center"/>
              <w:rPr>
                <w:color w:val="000000"/>
              </w:rPr>
            </w:pPr>
          </w:p>
        </w:tc>
      </w:tr>
      <w:tr w:rsidR="00EA4471" w14:paraId="3BA5E844" w14:textId="77777777" w:rsidTr="00EA4471">
        <w:tc>
          <w:tcPr>
            <w:tcW w:w="633" w:type="dxa"/>
            <w:tcBorders>
              <w:top w:val="single" w:sz="4" w:space="0" w:color="000000"/>
              <w:left w:val="single" w:sz="4" w:space="0" w:color="000000"/>
              <w:bottom w:val="single" w:sz="4" w:space="0" w:color="000000"/>
              <w:right w:val="single" w:sz="4" w:space="0" w:color="000000"/>
            </w:tcBorders>
            <w:hideMark/>
          </w:tcPr>
          <w:p w14:paraId="594C2EF2" w14:textId="77777777" w:rsidR="00EA4471" w:rsidRDefault="00EA4471">
            <w:pPr>
              <w:pStyle w:val="BodyTextIndent3"/>
              <w:spacing w:line="276" w:lineRule="auto"/>
              <w:ind w:left="0" w:firstLine="0"/>
              <w:rPr>
                <w:color w:val="000000"/>
              </w:rPr>
            </w:pPr>
            <w:r>
              <w:rPr>
                <w:color w:val="000000"/>
              </w:rPr>
              <w:t>11</w:t>
            </w:r>
          </w:p>
        </w:tc>
        <w:tc>
          <w:tcPr>
            <w:tcW w:w="6927" w:type="dxa"/>
            <w:tcBorders>
              <w:top w:val="single" w:sz="4" w:space="0" w:color="000000"/>
              <w:left w:val="single" w:sz="4" w:space="0" w:color="000000"/>
              <w:bottom w:val="single" w:sz="4" w:space="0" w:color="000000"/>
              <w:right w:val="single" w:sz="4" w:space="0" w:color="000000"/>
            </w:tcBorders>
            <w:hideMark/>
          </w:tcPr>
          <w:p w14:paraId="5AB1E9C8" w14:textId="77777777" w:rsidR="00EA4471" w:rsidRDefault="00EA4471">
            <w:pPr>
              <w:pStyle w:val="BodyTextIndent3"/>
              <w:spacing w:line="276" w:lineRule="auto"/>
              <w:ind w:left="0" w:firstLine="0"/>
              <w:rPr>
                <w:color w:val="000000"/>
              </w:rPr>
            </w:pPr>
            <w:r>
              <w:rPr>
                <w:color w:val="000000"/>
              </w:rPr>
              <w:t>Capacity of the pipeline under existing operating conditions</w:t>
            </w:r>
          </w:p>
        </w:tc>
        <w:tc>
          <w:tcPr>
            <w:tcW w:w="1436" w:type="dxa"/>
            <w:tcBorders>
              <w:top w:val="single" w:sz="4" w:space="0" w:color="000000"/>
              <w:left w:val="single" w:sz="4" w:space="0" w:color="000000"/>
              <w:bottom w:val="single" w:sz="4" w:space="0" w:color="000000"/>
              <w:right w:val="single" w:sz="4" w:space="0" w:color="000000"/>
            </w:tcBorders>
          </w:tcPr>
          <w:p w14:paraId="76627EC3" w14:textId="77777777" w:rsidR="00EA4471" w:rsidRDefault="00EA4471">
            <w:pPr>
              <w:pStyle w:val="BodyTextIndent3"/>
              <w:spacing w:line="276" w:lineRule="auto"/>
              <w:ind w:left="0" w:firstLine="0"/>
              <w:jc w:val="center"/>
              <w:rPr>
                <w:color w:val="000000"/>
              </w:rPr>
            </w:pPr>
          </w:p>
        </w:tc>
      </w:tr>
      <w:tr w:rsidR="00EA4471" w14:paraId="2FA383B5" w14:textId="77777777" w:rsidTr="00EA4471">
        <w:tc>
          <w:tcPr>
            <w:tcW w:w="633" w:type="dxa"/>
            <w:tcBorders>
              <w:top w:val="single" w:sz="4" w:space="0" w:color="000000"/>
              <w:left w:val="single" w:sz="4" w:space="0" w:color="000000"/>
              <w:bottom w:val="single" w:sz="4" w:space="0" w:color="000000"/>
              <w:right w:val="single" w:sz="4" w:space="0" w:color="000000"/>
            </w:tcBorders>
            <w:hideMark/>
          </w:tcPr>
          <w:p w14:paraId="66CC420E" w14:textId="77777777" w:rsidR="00EA4471" w:rsidRDefault="00EA4471">
            <w:pPr>
              <w:pStyle w:val="BodyTextIndent3"/>
              <w:spacing w:line="276" w:lineRule="auto"/>
              <w:ind w:left="0" w:firstLine="0"/>
              <w:rPr>
                <w:color w:val="000000"/>
              </w:rPr>
            </w:pPr>
            <w:r>
              <w:rPr>
                <w:color w:val="000000"/>
              </w:rPr>
              <w:t>12</w:t>
            </w:r>
          </w:p>
        </w:tc>
        <w:tc>
          <w:tcPr>
            <w:tcW w:w="6927" w:type="dxa"/>
            <w:tcBorders>
              <w:top w:val="single" w:sz="4" w:space="0" w:color="000000"/>
              <w:left w:val="single" w:sz="4" w:space="0" w:color="000000"/>
              <w:bottom w:val="single" w:sz="4" w:space="0" w:color="000000"/>
              <w:right w:val="single" w:sz="4" w:space="0" w:color="000000"/>
            </w:tcBorders>
            <w:hideMark/>
          </w:tcPr>
          <w:p w14:paraId="450F0C9F" w14:textId="1CB42F7B" w:rsidR="00EA4471" w:rsidRDefault="00EA4471">
            <w:pPr>
              <w:pStyle w:val="BodyTextIndent3"/>
              <w:spacing w:line="276" w:lineRule="auto"/>
              <w:ind w:left="0" w:firstLine="0"/>
              <w:rPr>
                <w:color w:val="000000"/>
              </w:rPr>
            </w:pPr>
            <w:r>
              <w:rPr>
                <w:color w:val="000000"/>
              </w:rPr>
              <w:t xml:space="preserve">Maximum achievable Capacity of the pipeline under steady state conditions as determined under </w:t>
            </w:r>
            <w:r w:rsidR="004361C5">
              <w:rPr>
                <w:rStyle w:val="FootnoteReference"/>
                <w:color w:val="000000"/>
              </w:rPr>
              <w:footnoteReference w:id="22"/>
            </w:r>
            <w:r w:rsidR="004361C5">
              <w:rPr>
                <w:color w:val="000000"/>
              </w:rPr>
              <w:t>[regulation</w:t>
            </w:r>
            <w:r>
              <w:rPr>
                <w:color w:val="000000"/>
              </w:rPr>
              <w:t>5</w:t>
            </w:r>
            <w:r w:rsidR="004361C5">
              <w:rPr>
                <w:color w:val="000000"/>
              </w:rPr>
              <w:t>]</w:t>
            </w:r>
            <w:r>
              <w:rPr>
                <w:color w:val="000000"/>
              </w:rPr>
              <w:t xml:space="preserve"> of these regulations</w:t>
            </w:r>
          </w:p>
        </w:tc>
        <w:tc>
          <w:tcPr>
            <w:tcW w:w="1436" w:type="dxa"/>
            <w:tcBorders>
              <w:top w:val="single" w:sz="4" w:space="0" w:color="000000"/>
              <w:left w:val="single" w:sz="4" w:space="0" w:color="000000"/>
              <w:bottom w:val="single" w:sz="4" w:space="0" w:color="000000"/>
              <w:right w:val="single" w:sz="4" w:space="0" w:color="000000"/>
            </w:tcBorders>
          </w:tcPr>
          <w:p w14:paraId="6D63FB10" w14:textId="77777777" w:rsidR="00EA4471" w:rsidRDefault="00EA4471">
            <w:pPr>
              <w:pStyle w:val="BodyTextIndent3"/>
              <w:spacing w:line="276" w:lineRule="auto"/>
              <w:ind w:left="0" w:firstLine="0"/>
              <w:jc w:val="center"/>
              <w:rPr>
                <w:color w:val="000000"/>
              </w:rPr>
            </w:pPr>
          </w:p>
        </w:tc>
      </w:tr>
      <w:tr w:rsidR="00EA4471" w14:paraId="5D333CB9" w14:textId="77777777" w:rsidTr="00EA4471">
        <w:tc>
          <w:tcPr>
            <w:tcW w:w="633" w:type="dxa"/>
            <w:tcBorders>
              <w:top w:val="single" w:sz="4" w:space="0" w:color="000000"/>
              <w:left w:val="single" w:sz="4" w:space="0" w:color="000000"/>
              <w:bottom w:val="single" w:sz="4" w:space="0" w:color="000000"/>
              <w:right w:val="single" w:sz="4" w:space="0" w:color="000000"/>
            </w:tcBorders>
            <w:hideMark/>
          </w:tcPr>
          <w:p w14:paraId="2F008A00" w14:textId="77777777" w:rsidR="00EA4471" w:rsidRDefault="00EA4471">
            <w:pPr>
              <w:pStyle w:val="BodyTextIndent3"/>
              <w:spacing w:line="276" w:lineRule="auto"/>
              <w:ind w:left="0" w:firstLine="0"/>
              <w:rPr>
                <w:color w:val="000000"/>
              </w:rPr>
            </w:pPr>
            <w:r>
              <w:rPr>
                <w:color w:val="000000"/>
              </w:rPr>
              <w:t>13</w:t>
            </w:r>
          </w:p>
        </w:tc>
        <w:tc>
          <w:tcPr>
            <w:tcW w:w="6927" w:type="dxa"/>
            <w:tcBorders>
              <w:top w:val="single" w:sz="4" w:space="0" w:color="000000"/>
              <w:left w:val="single" w:sz="4" w:space="0" w:color="000000"/>
              <w:bottom w:val="single" w:sz="4" w:space="0" w:color="000000"/>
              <w:right w:val="single" w:sz="4" w:space="0" w:color="000000"/>
            </w:tcBorders>
            <w:hideMark/>
          </w:tcPr>
          <w:p w14:paraId="42BAF445" w14:textId="478E487E" w:rsidR="00EA4471" w:rsidRDefault="00EA4471" w:rsidP="005A134C">
            <w:pPr>
              <w:pStyle w:val="BodyTextIndent3"/>
              <w:spacing w:line="276" w:lineRule="auto"/>
              <w:ind w:left="0" w:firstLine="0"/>
              <w:rPr>
                <w:color w:val="000000"/>
              </w:rPr>
            </w:pPr>
            <w:r>
              <w:rPr>
                <w:color w:val="000000"/>
              </w:rPr>
              <w:t xml:space="preserve">Section wise maximum achievable capacity of the pipeline as determined under </w:t>
            </w:r>
            <w:r w:rsidR="005A134C">
              <w:rPr>
                <w:rStyle w:val="FootnoteReference"/>
                <w:color w:val="000000"/>
              </w:rPr>
              <w:footnoteReference w:id="23"/>
            </w:r>
            <w:r w:rsidR="005A134C">
              <w:rPr>
                <w:color w:val="000000"/>
              </w:rPr>
              <w:t>[regulation]</w:t>
            </w:r>
            <w:r>
              <w:rPr>
                <w:color w:val="000000"/>
              </w:rPr>
              <w:t xml:space="preserve"> 5 of these regulations</w:t>
            </w:r>
          </w:p>
        </w:tc>
        <w:tc>
          <w:tcPr>
            <w:tcW w:w="1436" w:type="dxa"/>
            <w:tcBorders>
              <w:top w:val="single" w:sz="4" w:space="0" w:color="000000"/>
              <w:left w:val="single" w:sz="4" w:space="0" w:color="000000"/>
              <w:bottom w:val="single" w:sz="4" w:space="0" w:color="000000"/>
              <w:right w:val="single" w:sz="4" w:space="0" w:color="000000"/>
            </w:tcBorders>
          </w:tcPr>
          <w:p w14:paraId="1939E5D8" w14:textId="77777777" w:rsidR="00EA4471" w:rsidRDefault="00EA4471">
            <w:pPr>
              <w:pStyle w:val="BodyTextIndent3"/>
              <w:spacing w:line="276" w:lineRule="auto"/>
              <w:ind w:left="0" w:firstLine="0"/>
              <w:jc w:val="center"/>
              <w:rPr>
                <w:color w:val="000000"/>
              </w:rPr>
            </w:pPr>
          </w:p>
        </w:tc>
      </w:tr>
      <w:tr w:rsidR="00EA4471" w14:paraId="383780A4" w14:textId="77777777" w:rsidTr="00EA4471">
        <w:tc>
          <w:tcPr>
            <w:tcW w:w="633" w:type="dxa"/>
            <w:tcBorders>
              <w:top w:val="single" w:sz="4" w:space="0" w:color="000000"/>
              <w:left w:val="single" w:sz="4" w:space="0" w:color="000000"/>
              <w:bottom w:val="single" w:sz="4" w:space="0" w:color="000000"/>
              <w:right w:val="single" w:sz="4" w:space="0" w:color="000000"/>
            </w:tcBorders>
            <w:hideMark/>
          </w:tcPr>
          <w:p w14:paraId="11AD7A53" w14:textId="77777777" w:rsidR="00EA4471" w:rsidRDefault="00EA4471">
            <w:pPr>
              <w:pStyle w:val="BodyTextIndent3"/>
              <w:spacing w:line="276" w:lineRule="auto"/>
              <w:ind w:left="0" w:firstLine="0"/>
              <w:rPr>
                <w:color w:val="000000"/>
              </w:rPr>
            </w:pPr>
            <w:r>
              <w:rPr>
                <w:color w:val="000000"/>
              </w:rPr>
              <w:t>14</w:t>
            </w:r>
          </w:p>
        </w:tc>
        <w:tc>
          <w:tcPr>
            <w:tcW w:w="6927" w:type="dxa"/>
            <w:tcBorders>
              <w:top w:val="single" w:sz="4" w:space="0" w:color="000000"/>
              <w:left w:val="single" w:sz="4" w:space="0" w:color="000000"/>
              <w:bottom w:val="single" w:sz="4" w:space="0" w:color="000000"/>
              <w:right w:val="single" w:sz="4" w:space="0" w:color="000000"/>
            </w:tcBorders>
            <w:hideMark/>
          </w:tcPr>
          <w:p w14:paraId="473A71F5" w14:textId="77777777" w:rsidR="00EA4471" w:rsidRDefault="00EA4471">
            <w:pPr>
              <w:pStyle w:val="BodyTextIndent3"/>
              <w:spacing w:line="276" w:lineRule="auto"/>
              <w:ind w:left="0" w:firstLine="0"/>
              <w:rPr>
                <w:color w:val="000000"/>
              </w:rPr>
            </w:pPr>
            <w:r>
              <w:rPr>
                <w:color w:val="000000"/>
              </w:rPr>
              <w:t>Expected addition of entry points and exit points scheduled in near future</w:t>
            </w:r>
          </w:p>
        </w:tc>
        <w:tc>
          <w:tcPr>
            <w:tcW w:w="1436" w:type="dxa"/>
            <w:tcBorders>
              <w:top w:val="single" w:sz="4" w:space="0" w:color="000000"/>
              <w:left w:val="single" w:sz="4" w:space="0" w:color="000000"/>
              <w:bottom w:val="single" w:sz="4" w:space="0" w:color="000000"/>
              <w:right w:val="single" w:sz="4" w:space="0" w:color="000000"/>
            </w:tcBorders>
          </w:tcPr>
          <w:p w14:paraId="28329980" w14:textId="77777777" w:rsidR="00EA4471" w:rsidRDefault="00EA4471">
            <w:pPr>
              <w:pStyle w:val="BodyTextIndent3"/>
              <w:spacing w:line="276" w:lineRule="auto"/>
              <w:ind w:left="0" w:firstLine="0"/>
              <w:jc w:val="center"/>
              <w:rPr>
                <w:color w:val="000000"/>
              </w:rPr>
            </w:pPr>
          </w:p>
        </w:tc>
      </w:tr>
    </w:tbl>
    <w:p w14:paraId="444EF5CF" w14:textId="77777777" w:rsidR="00EA4471" w:rsidRDefault="00EA4471" w:rsidP="00EA4471">
      <w:pPr>
        <w:pStyle w:val="BodyTextIndent3"/>
        <w:spacing w:line="276" w:lineRule="auto"/>
        <w:ind w:left="360" w:firstLine="0"/>
        <w:jc w:val="right"/>
        <w:rPr>
          <w:color w:val="000000"/>
        </w:rPr>
      </w:pPr>
    </w:p>
    <w:p w14:paraId="4922D7D8" w14:textId="2CF0AA68" w:rsidR="0015386A" w:rsidRDefault="00EA4471" w:rsidP="00EA4471">
      <w:pPr>
        <w:spacing w:after="200" w:line="276" w:lineRule="auto"/>
        <w:ind w:left="426"/>
      </w:pPr>
      <w:r>
        <w:rPr>
          <w:color w:val="000000"/>
        </w:rPr>
        <w:t xml:space="preserve">Note: </w:t>
      </w:r>
      <w:r w:rsidR="0015386A">
        <w:rPr>
          <w:rStyle w:val="FootnoteReference"/>
          <w:color w:val="000000"/>
        </w:rPr>
        <w:footnoteReference w:id="24"/>
      </w:r>
      <w:r w:rsidR="0015386A">
        <w:rPr>
          <w:color w:val="000000"/>
        </w:rPr>
        <w:t>[</w:t>
      </w:r>
      <w:r w:rsidR="0015386A">
        <w:t>(</w:t>
      </w:r>
      <w:proofErr w:type="spellStart"/>
      <w:r w:rsidR="0015386A">
        <w:t>i</w:t>
      </w:r>
      <w:proofErr w:type="spellEnd"/>
      <w:r w:rsidR="0015386A">
        <w:t xml:space="preserve">) Submit the system flow diagram, hydraulic gradient and simulation files of software package used for capacity determination. </w:t>
      </w:r>
    </w:p>
    <w:p w14:paraId="2438E50F" w14:textId="387FD633" w:rsidR="00EA4471" w:rsidRDefault="0015386A" w:rsidP="00EA4471">
      <w:pPr>
        <w:spacing w:after="200" w:line="276" w:lineRule="auto"/>
        <w:ind w:left="426"/>
        <w:rPr>
          <w:color w:val="000000"/>
        </w:rPr>
      </w:pPr>
      <w:r>
        <w:lastRenderedPageBreak/>
        <w:t>(ii) Above information shall be approved by person authorized by the board of entity.</w:t>
      </w:r>
      <w:proofErr w:type="gramStart"/>
      <w:r>
        <w:t xml:space="preserve">” </w:t>
      </w:r>
      <w:r>
        <w:rPr>
          <w:color w:val="000000"/>
        </w:rPr>
        <w:t>]</w:t>
      </w:r>
      <w:proofErr w:type="gramEnd"/>
    </w:p>
    <w:p w14:paraId="42E34263" w14:textId="77777777" w:rsidR="00EA4471" w:rsidRDefault="00EA4471" w:rsidP="00C413C9">
      <w:pPr>
        <w:spacing w:after="200" w:line="276" w:lineRule="auto"/>
        <w:rPr>
          <w:b/>
          <w:color w:val="000000"/>
          <w:u w:val="single"/>
        </w:rPr>
      </w:pPr>
    </w:p>
    <w:p w14:paraId="156AA052" w14:textId="0D52F73B" w:rsidR="00EA4471" w:rsidRDefault="00EA4471" w:rsidP="00EA4471">
      <w:pPr>
        <w:spacing w:after="200" w:line="276" w:lineRule="auto"/>
        <w:ind w:left="426"/>
        <w:jc w:val="center"/>
        <w:rPr>
          <w:b/>
          <w:color w:val="000000"/>
          <w:u w:val="single"/>
        </w:rPr>
      </w:pPr>
      <w:r>
        <w:rPr>
          <w:b/>
          <w:color w:val="000000"/>
          <w:u w:val="single"/>
        </w:rPr>
        <w:t>Schedule B</w:t>
      </w:r>
    </w:p>
    <w:p w14:paraId="3695268F" w14:textId="77777777" w:rsidR="00EA4471" w:rsidRDefault="00EA4471" w:rsidP="00EA4471">
      <w:pPr>
        <w:spacing w:after="200" w:line="276" w:lineRule="auto"/>
        <w:jc w:val="center"/>
        <w:rPr>
          <w:color w:val="000000"/>
        </w:rPr>
      </w:pPr>
      <w:r>
        <w:rPr>
          <w:color w:val="000000"/>
        </w:rPr>
        <w:t>[see regulation 5(5)(b)(viii)]</w:t>
      </w:r>
    </w:p>
    <w:p w14:paraId="12F4FB57" w14:textId="09F2CF81" w:rsidR="00EA4471" w:rsidRDefault="00EA4471" w:rsidP="00EA4471">
      <w:pPr>
        <w:pStyle w:val="BodyTextIndent3"/>
        <w:spacing w:line="276" w:lineRule="auto"/>
        <w:ind w:left="357" w:firstLine="0"/>
        <w:jc w:val="center"/>
        <w:rPr>
          <w:color w:val="000000"/>
        </w:rPr>
      </w:pPr>
      <w:r>
        <w:rPr>
          <w:color w:val="000000"/>
        </w:rPr>
        <w:t>Format for furnishing information regarding determining capacity of Petroleum and Petroleum Products Pipeline</w:t>
      </w:r>
    </w:p>
    <w:p w14:paraId="430F4322" w14:textId="62FB5ABC" w:rsidR="001A4165" w:rsidRDefault="001A4165" w:rsidP="00EA4471">
      <w:pPr>
        <w:pStyle w:val="BodyTextIndent3"/>
        <w:spacing w:line="276" w:lineRule="auto"/>
        <w:ind w:left="357" w:firstLine="0"/>
        <w:jc w:val="center"/>
        <w:rPr>
          <w:color w:val="000000"/>
        </w:rPr>
      </w:pPr>
      <w:r>
        <w:rPr>
          <w:rStyle w:val="FootnoteReference"/>
          <w:color w:val="000000"/>
        </w:rPr>
        <w:footnoteReference w:id="25"/>
      </w:r>
      <w:r>
        <w:rPr>
          <w:color w:val="000000"/>
        </w:rPr>
        <w:t>[</w:t>
      </w:r>
      <w:r>
        <w:t>Financial Year: 20…. - 20….</w:t>
      </w:r>
      <w:r>
        <w:rPr>
          <w:color w:val="000000"/>
        </w:rPr>
        <w:t>]</w:t>
      </w:r>
    </w:p>
    <w:p w14:paraId="5B5B05B5" w14:textId="77777777" w:rsidR="00EA4471" w:rsidRDefault="00EA4471" w:rsidP="00EA4471">
      <w:pPr>
        <w:pStyle w:val="BodyTextIndent3"/>
        <w:spacing w:line="276" w:lineRule="auto"/>
        <w:ind w:left="357" w:firstLine="0"/>
        <w:rPr>
          <w:color w:val="000000"/>
        </w:rPr>
      </w:pPr>
    </w:p>
    <w:tbl>
      <w:tblPr>
        <w:tblW w:w="0" w:type="auto"/>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76"/>
        <w:gridCol w:w="6684"/>
        <w:gridCol w:w="1088"/>
      </w:tblGrid>
      <w:tr w:rsidR="00EA4471" w14:paraId="2A8B370A" w14:textId="77777777" w:rsidTr="00EA4471">
        <w:tc>
          <w:tcPr>
            <w:tcW w:w="633" w:type="dxa"/>
            <w:tcBorders>
              <w:top w:val="single" w:sz="4" w:space="0" w:color="000000"/>
              <w:left w:val="single" w:sz="4" w:space="0" w:color="000000"/>
              <w:bottom w:val="single" w:sz="4" w:space="0" w:color="000000"/>
              <w:right w:val="single" w:sz="4" w:space="0" w:color="000000"/>
            </w:tcBorders>
            <w:hideMark/>
          </w:tcPr>
          <w:p w14:paraId="4DF6C712" w14:textId="77777777" w:rsidR="00EA4471" w:rsidRDefault="00EA4471">
            <w:pPr>
              <w:pStyle w:val="BodyTextIndent3"/>
              <w:spacing w:line="276" w:lineRule="auto"/>
              <w:ind w:left="0" w:firstLine="0"/>
              <w:rPr>
                <w:color w:val="000000"/>
              </w:rPr>
            </w:pPr>
            <w:r>
              <w:rPr>
                <w:color w:val="000000"/>
              </w:rPr>
              <w:t>1</w:t>
            </w:r>
          </w:p>
        </w:tc>
        <w:tc>
          <w:tcPr>
            <w:tcW w:w="7229" w:type="dxa"/>
            <w:tcBorders>
              <w:top w:val="single" w:sz="4" w:space="0" w:color="000000"/>
              <w:left w:val="single" w:sz="4" w:space="0" w:color="000000"/>
              <w:bottom w:val="single" w:sz="4" w:space="0" w:color="000000"/>
              <w:right w:val="single" w:sz="4" w:space="0" w:color="000000"/>
            </w:tcBorders>
            <w:hideMark/>
          </w:tcPr>
          <w:p w14:paraId="0F3FE0F9" w14:textId="77777777" w:rsidR="00EA4471" w:rsidRDefault="00EA4471">
            <w:pPr>
              <w:pStyle w:val="BodyTextIndent3"/>
              <w:spacing w:line="276" w:lineRule="auto"/>
              <w:ind w:left="0" w:firstLine="0"/>
              <w:rPr>
                <w:color w:val="000000"/>
              </w:rPr>
            </w:pPr>
            <w:r>
              <w:rPr>
                <w:color w:val="000000"/>
              </w:rPr>
              <w:t>Name of Entity</w:t>
            </w:r>
          </w:p>
        </w:tc>
        <w:tc>
          <w:tcPr>
            <w:tcW w:w="1134" w:type="dxa"/>
            <w:tcBorders>
              <w:top w:val="single" w:sz="4" w:space="0" w:color="000000"/>
              <w:left w:val="single" w:sz="4" w:space="0" w:color="000000"/>
              <w:bottom w:val="single" w:sz="4" w:space="0" w:color="000000"/>
              <w:right w:val="single" w:sz="4" w:space="0" w:color="000000"/>
            </w:tcBorders>
          </w:tcPr>
          <w:p w14:paraId="20A6655C" w14:textId="77777777" w:rsidR="00EA4471" w:rsidRDefault="00EA4471">
            <w:pPr>
              <w:pStyle w:val="BodyTextIndent3"/>
              <w:spacing w:line="276" w:lineRule="auto"/>
              <w:ind w:left="0" w:firstLine="0"/>
              <w:rPr>
                <w:color w:val="000000"/>
              </w:rPr>
            </w:pPr>
          </w:p>
        </w:tc>
      </w:tr>
      <w:tr w:rsidR="00EA4471" w14:paraId="43D2F47D" w14:textId="77777777" w:rsidTr="00EA4471">
        <w:tc>
          <w:tcPr>
            <w:tcW w:w="633" w:type="dxa"/>
            <w:tcBorders>
              <w:top w:val="single" w:sz="4" w:space="0" w:color="000000"/>
              <w:left w:val="single" w:sz="4" w:space="0" w:color="000000"/>
              <w:bottom w:val="single" w:sz="4" w:space="0" w:color="000000"/>
              <w:right w:val="single" w:sz="4" w:space="0" w:color="000000"/>
            </w:tcBorders>
            <w:hideMark/>
          </w:tcPr>
          <w:p w14:paraId="39CB5273" w14:textId="77777777" w:rsidR="00EA4471" w:rsidRDefault="00EA4471">
            <w:pPr>
              <w:pStyle w:val="BodyTextIndent3"/>
              <w:spacing w:line="276" w:lineRule="auto"/>
              <w:ind w:left="0" w:firstLine="0"/>
              <w:rPr>
                <w:color w:val="000000"/>
              </w:rPr>
            </w:pPr>
            <w:r>
              <w:rPr>
                <w:color w:val="000000"/>
              </w:rPr>
              <w:t>2</w:t>
            </w:r>
          </w:p>
        </w:tc>
        <w:tc>
          <w:tcPr>
            <w:tcW w:w="7229" w:type="dxa"/>
            <w:tcBorders>
              <w:top w:val="single" w:sz="4" w:space="0" w:color="000000"/>
              <w:left w:val="single" w:sz="4" w:space="0" w:color="000000"/>
              <w:bottom w:val="single" w:sz="4" w:space="0" w:color="000000"/>
              <w:right w:val="single" w:sz="4" w:space="0" w:color="000000"/>
            </w:tcBorders>
            <w:hideMark/>
          </w:tcPr>
          <w:p w14:paraId="4826DB1F" w14:textId="77777777" w:rsidR="00EA4471" w:rsidRDefault="00EA4471">
            <w:pPr>
              <w:pStyle w:val="BodyTextIndent3"/>
              <w:spacing w:line="276" w:lineRule="auto"/>
              <w:ind w:left="0" w:firstLine="0"/>
              <w:rPr>
                <w:color w:val="000000"/>
              </w:rPr>
            </w:pPr>
            <w:r>
              <w:rPr>
                <w:color w:val="000000"/>
              </w:rPr>
              <w:t>Address and Contact details of Entity</w:t>
            </w:r>
          </w:p>
        </w:tc>
        <w:tc>
          <w:tcPr>
            <w:tcW w:w="1134" w:type="dxa"/>
            <w:tcBorders>
              <w:top w:val="single" w:sz="4" w:space="0" w:color="000000"/>
              <w:left w:val="single" w:sz="4" w:space="0" w:color="000000"/>
              <w:bottom w:val="single" w:sz="4" w:space="0" w:color="000000"/>
              <w:right w:val="single" w:sz="4" w:space="0" w:color="000000"/>
            </w:tcBorders>
          </w:tcPr>
          <w:p w14:paraId="15B109D5" w14:textId="77777777" w:rsidR="00EA4471" w:rsidRDefault="00EA4471">
            <w:pPr>
              <w:pStyle w:val="BodyTextIndent3"/>
              <w:spacing w:line="276" w:lineRule="auto"/>
              <w:ind w:left="0" w:firstLine="0"/>
              <w:rPr>
                <w:color w:val="000000"/>
              </w:rPr>
            </w:pPr>
          </w:p>
        </w:tc>
      </w:tr>
      <w:tr w:rsidR="00EA4471" w14:paraId="09883569" w14:textId="77777777" w:rsidTr="00EA4471">
        <w:tc>
          <w:tcPr>
            <w:tcW w:w="633" w:type="dxa"/>
            <w:tcBorders>
              <w:top w:val="single" w:sz="4" w:space="0" w:color="000000"/>
              <w:left w:val="single" w:sz="4" w:space="0" w:color="000000"/>
              <w:bottom w:val="single" w:sz="4" w:space="0" w:color="000000"/>
              <w:right w:val="single" w:sz="4" w:space="0" w:color="000000"/>
            </w:tcBorders>
            <w:hideMark/>
          </w:tcPr>
          <w:p w14:paraId="0EFA3D86" w14:textId="77777777" w:rsidR="00EA4471" w:rsidRDefault="00EA4471">
            <w:pPr>
              <w:pStyle w:val="BodyTextIndent3"/>
              <w:spacing w:line="276" w:lineRule="auto"/>
              <w:ind w:left="0" w:firstLine="0"/>
              <w:rPr>
                <w:color w:val="000000"/>
              </w:rPr>
            </w:pPr>
            <w:r>
              <w:rPr>
                <w:color w:val="000000"/>
              </w:rPr>
              <w:t>3</w:t>
            </w:r>
          </w:p>
        </w:tc>
        <w:tc>
          <w:tcPr>
            <w:tcW w:w="7229" w:type="dxa"/>
            <w:tcBorders>
              <w:top w:val="single" w:sz="4" w:space="0" w:color="000000"/>
              <w:left w:val="single" w:sz="4" w:space="0" w:color="000000"/>
              <w:bottom w:val="single" w:sz="4" w:space="0" w:color="000000"/>
              <w:right w:val="single" w:sz="4" w:space="0" w:color="000000"/>
            </w:tcBorders>
            <w:hideMark/>
          </w:tcPr>
          <w:p w14:paraId="3116F68D" w14:textId="77777777" w:rsidR="00EA4471" w:rsidRDefault="00EA4471">
            <w:pPr>
              <w:pStyle w:val="BodyTextIndent3"/>
              <w:spacing w:line="276" w:lineRule="auto"/>
              <w:ind w:left="0" w:firstLine="0"/>
              <w:rPr>
                <w:color w:val="000000"/>
              </w:rPr>
            </w:pPr>
            <w:r>
              <w:rPr>
                <w:color w:val="000000"/>
              </w:rPr>
              <w:t xml:space="preserve">Name of Petroleum and Petroleum Products Pipeline </w:t>
            </w:r>
          </w:p>
        </w:tc>
        <w:tc>
          <w:tcPr>
            <w:tcW w:w="1134" w:type="dxa"/>
            <w:tcBorders>
              <w:top w:val="single" w:sz="4" w:space="0" w:color="000000"/>
              <w:left w:val="single" w:sz="4" w:space="0" w:color="000000"/>
              <w:bottom w:val="single" w:sz="4" w:space="0" w:color="000000"/>
              <w:right w:val="single" w:sz="4" w:space="0" w:color="000000"/>
            </w:tcBorders>
          </w:tcPr>
          <w:p w14:paraId="58FD53E4" w14:textId="77777777" w:rsidR="00EA4471" w:rsidRDefault="00EA4471">
            <w:pPr>
              <w:pStyle w:val="BodyTextIndent3"/>
              <w:spacing w:line="276" w:lineRule="auto"/>
              <w:ind w:left="0" w:firstLine="0"/>
              <w:rPr>
                <w:color w:val="000000"/>
              </w:rPr>
            </w:pPr>
          </w:p>
        </w:tc>
      </w:tr>
      <w:tr w:rsidR="00EA4471" w14:paraId="629F2045" w14:textId="77777777" w:rsidTr="00EA4471">
        <w:tc>
          <w:tcPr>
            <w:tcW w:w="633" w:type="dxa"/>
            <w:tcBorders>
              <w:top w:val="single" w:sz="4" w:space="0" w:color="000000"/>
              <w:left w:val="single" w:sz="4" w:space="0" w:color="000000"/>
              <w:bottom w:val="single" w:sz="4" w:space="0" w:color="000000"/>
              <w:right w:val="single" w:sz="4" w:space="0" w:color="000000"/>
            </w:tcBorders>
            <w:hideMark/>
          </w:tcPr>
          <w:p w14:paraId="4975BFFB" w14:textId="77777777" w:rsidR="00EA4471" w:rsidRDefault="00EA4471">
            <w:pPr>
              <w:pStyle w:val="BodyTextIndent3"/>
              <w:spacing w:line="276" w:lineRule="auto"/>
              <w:ind w:left="0" w:firstLine="0"/>
              <w:rPr>
                <w:color w:val="000000"/>
              </w:rPr>
            </w:pPr>
            <w:r>
              <w:rPr>
                <w:color w:val="000000"/>
              </w:rPr>
              <w:t>4</w:t>
            </w:r>
          </w:p>
        </w:tc>
        <w:tc>
          <w:tcPr>
            <w:tcW w:w="7229" w:type="dxa"/>
            <w:tcBorders>
              <w:top w:val="single" w:sz="4" w:space="0" w:color="000000"/>
              <w:left w:val="single" w:sz="4" w:space="0" w:color="000000"/>
              <w:bottom w:val="single" w:sz="4" w:space="0" w:color="000000"/>
              <w:right w:val="single" w:sz="4" w:space="0" w:color="000000"/>
            </w:tcBorders>
            <w:hideMark/>
          </w:tcPr>
          <w:p w14:paraId="4552DAEC" w14:textId="77777777" w:rsidR="00EA4471" w:rsidRDefault="00EA4471">
            <w:pPr>
              <w:pStyle w:val="BodyTextIndent3"/>
              <w:spacing w:line="276" w:lineRule="auto"/>
              <w:ind w:left="0" w:firstLine="0"/>
              <w:rPr>
                <w:color w:val="000000"/>
              </w:rPr>
            </w:pPr>
            <w:r>
              <w:rPr>
                <w:color w:val="000000"/>
              </w:rPr>
              <w:t>Name of Software package used for determining capacity</w:t>
            </w:r>
          </w:p>
        </w:tc>
        <w:tc>
          <w:tcPr>
            <w:tcW w:w="1134" w:type="dxa"/>
            <w:tcBorders>
              <w:top w:val="single" w:sz="4" w:space="0" w:color="000000"/>
              <w:left w:val="single" w:sz="4" w:space="0" w:color="000000"/>
              <w:bottom w:val="single" w:sz="4" w:space="0" w:color="000000"/>
              <w:right w:val="single" w:sz="4" w:space="0" w:color="000000"/>
            </w:tcBorders>
          </w:tcPr>
          <w:p w14:paraId="16A5684D" w14:textId="77777777" w:rsidR="00EA4471" w:rsidRDefault="00EA4471">
            <w:pPr>
              <w:pStyle w:val="BodyTextIndent3"/>
              <w:spacing w:line="276" w:lineRule="auto"/>
              <w:ind w:left="0" w:firstLine="0"/>
              <w:rPr>
                <w:color w:val="000000"/>
              </w:rPr>
            </w:pPr>
          </w:p>
        </w:tc>
      </w:tr>
      <w:tr w:rsidR="00EA4471" w14:paraId="142634B0" w14:textId="77777777" w:rsidTr="00EA4471">
        <w:tc>
          <w:tcPr>
            <w:tcW w:w="633" w:type="dxa"/>
            <w:tcBorders>
              <w:top w:val="single" w:sz="4" w:space="0" w:color="000000"/>
              <w:left w:val="single" w:sz="4" w:space="0" w:color="000000"/>
              <w:bottom w:val="single" w:sz="4" w:space="0" w:color="000000"/>
              <w:right w:val="single" w:sz="4" w:space="0" w:color="000000"/>
            </w:tcBorders>
            <w:hideMark/>
          </w:tcPr>
          <w:p w14:paraId="0DA5F027" w14:textId="77777777" w:rsidR="00EA4471" w:rsidRDefault="00EA4471">
            <w:pPr>
              <w:pStyle w:val="BodyTextIndent3"/>
              <w:spacing w:line="276" w:lineRule="auto"/>
              <w:ind w:left="0" w:firstLine="0"/>
              <w:rPr>
                <w:color w:val="000000"/>
              </w:rPr>
            </w:pPr>
            <w:r>
              <w:rPr>
                <w:color w:val="000000"/>
              </w:rPr>
              <w:t>5</w:t>
            </w:r>
          </w:p>
        </w:tc>
        <w:tc>
          <w:tcPr>
            <w:tcW w:w="7229" w:type="dxa"/>
            <w:tcBorders>
              <w:top w:val="single" w:sz="4" w:space="0" w:color="000000"/>
              <w:left w:val="single" w:sz="4" w:space="0" w:color="000000"/>
              <w:bottom w:val="single" w:sz="4" w:space="0" w:color="000000"/>
              <w:right w:val="single" w:sz="4" w:space="0" w:color="000000"/>
            </w:tcBorders>
            <w:hideMark/>
          </w:tcPr>
          <w:p w14:paraId="31FAD006" w14:textId="77777777" w:rsidR="00EA4471" w:rsidRDefault="00EA4471">
            <w:pPr>
              <w:pStyle w:val="BodyTextIndent3"/>
              <w:spacing w:line="276" w:lineRule="auto"/>
              <w:ind w:left="0" w:firstLine="0"/>
              <w:rPr>
                <w:color w:val="000000"/>
              </w:rPr>
            </w:pPr>
            <w:r>
              <w:rPr>
                <w:color w:val="000000"/>
              </w:rPr>
              <w:t>Approved Flow equation used (mention name of flow equation)</w:t>
            </w:r>
          </w:p>
        </w:tc>
        <w:tc>
          <w:tcPr>
            <w:tcW w:w="1134" w:type="dxa"/>
            <w:tcBorders>
              <w:top w:val="single" w:sz="4" w:space="0" w:color="000000"/>
              <w:left w:val="single" w:sz="4" w:space="0" w:color="000000"/>
              <w:bottom w:val="single" w:sz="4" w:space="0" w:color="000000"/>
              <w:right w:val="single" w:sz="4" w:space="0" w:color="000000"/>
            </w:tcBorders>
          </w:tcPr>
          <w:p w14:paraId="7E0B576F" w14:textId="77777777" w:rsidR="00EA4471" w:rsidRDefault="00EA4471">
            <w:pPr>
              <w:pStyle w:val="BodyTextIndent3"/>
              <w:spacing w:line="276" w:lineRule="auto"/>
              <w:ind w:left="0" w:firstLine="0"/>
              <w:rPr>
                <w:color w:val="000000"/>
              </w:rPr>
            </w:pPr>
          </w:p>
        </w:tc>
      </w:tr>
      <w:tr w:rsidR="00EA4471" w14:paraId="07D6E594" w14:textId="77777777" w:rsidTr="00EA4471">
        <w:tc>
          <w:tcPr>
            <w:tcW w:w="633" w:type="dxa"/>
            <w:tcBorders>
              <w:top w:val="single" w:sz="4" w:space="0" w:color="000000"/>
              <w:left w:val="single" w:sz="4" w:space="0" w:color="000000"/>
              <w:bottom w:val="single" w:sz="4" w:space="0" w:color="000000"/>
              <w:right w:val="single" w:sz="4" w:space="0" w:color="000000"/>
            </w:tcBorders>
            <w:hideMark/>
          </w:tcPr>
          <w:p w14:paraId="18C0050E" w14:textId="77777777" w:rsidR="00EA4471" w:rsidRDefault="00EA4471">
            <w:pPr>
              <w:pStyle w:val="BodyTextIndent3"/>
              <w:spacing w:line="276" w:lineRule="auto"/>
              <w:ind w:left="0" w:firstLine="0"/>
              <w:rPr>
                <w:color w:val="000000"/>
              </w:rPr>
            </w:pPr>
            <w:bookmarkStart w:id="13" w:name="_Hlk249710375"/>
            <w:r>
              <w:rPr>
                <w:color w:val="000000"/>
              </w:rPr>
              <w:t>6</w:t>
            </w:r>
          </w:p>
        </w:tc>
        <w:tc>
          <w:tcPr>
            <w:tcW w:w="7229" w:type="dxa"/>
            <w:tcBorders>
              <w:top w:val="single" w:sz="4" w:space="0" w:color="000000"/>
              <w:left w:val="single" w:sz="4" w:space="0" w:color="000000"/>
              <w:bottom w:val="single" w:sz="4" w:space="0" w:color="000000"/>
              <w:right w:val="single" w:sz="4" w:space="0" w:color="000000"/>
            </w:tcBorders>
            <w:hideMark/>
          </w:tcPr>
          <w:p w14:paraId="198E97A5" w14:textId="77777777" w:rsidR="00EA4471" w:rsidRDefault="00EA4471">
            <w:pPr>
              <w:pStyle w:val="BodyTextIndent3"/>
              <w:spacing w:line="276" w:lineRule="auto"/>
              <w:ind w:left="0" w:firstLine="0"/>
              <w:rPr>
                <w:color w:val="000000"/>
              </w:rPr>
            </w:pPr>
            <w:r>
              <w:rPr>
                <w:color w:val="000000"/>
              </w:rPr>
              <w:t>Details of injection/entry point and delivery/exit points and sections on the pipeline</w:t>
            </w:r>
          </w:p>
        </w:tc>
        <w:tc>
          <w:tcPr>
            <w:tcW w:w="1134" w:type="dxa"/>
            <w:tcBorders>
              <w:top w:val="single" w:sz="4" w:space="0" w:color="000000"/>
              <w:left w:val="single" w:sz="4" w:space="0" w:color="000000"/>
              <w:bottom w:val="single" w:sz="4" w:space="0" w:color="000000"/>
              <w:right w:val="single" w:sz="4" w:space="0" w:color="000000"/>
            </w:tcBorders>
          </w:tcPr>
          <w:p w14:paraId="0E5C5934" w14:textId="77777777" w:rsidR="00EA4471" w:rsidRDefault="00EA4471">
            <w:pPr>
              <w:pStyle w:val="BodyTextIndent3"/>
              <w:spacing w:line="276" w:lineRule="auto"/>
              <w:ind w:left="0" w:firstLine="0"/>
              <w:rPr>
                <w:color w:val="000000"/>
              </w:rPr>
            </w:pPr>
          </w:p>
        </w:tc>
        <w:bookmarkEnd w:id="13"/>
      </w:tr>
      <w:tr w:rsidR="00EA4471" w14:paraId="2B2E1F1C" w14:textId="77777777" w:rsidTr="00EA4471">
        <w:tc>
          <w:tcPr>
            <w:tcW w:w="633" w:type="dxa"/>
            <w:tcBorders>
              <w:top w:val="single" w:sz="4" w:space="0" w:color="000000"/>
              <w:left w:val="single" w:sz="4" w:space="0" w:color="000000"/>
              <w:bottom w:val="single" w:sz="4" w:space="0" w:color="000000"/>
              <w:right w:val="single" w:sz="4" w:space="0" w:color="000000"/>
            </w:tcBorders>
            <w:hideMark/>
          </w:tcPr>
          <w:p w14:paraId="5A320F65" w14:textId="77777777" w:rsidR="00EA4471" w:rsidRDefault="00EA4471">
            <w:pPr>
              <w:pStyle w:val="BodyTextIndent3"/>
              <w:spacing w:line="276" w:lineRule="auto"/>
              <w:ind w:left="0" w:firstLine="0"/>
              <w:rPr>
                <w:color w:val="000000"/>
              </w:rPr>
            </w:pPr>
            <w:r>
              <w:rPr>
                <w:color w:val="000000"/>
              </w:rPr>
              <w:t>7</w:t>
            </w:r>
          </w:p>
        </w:tc>
        <w:tc>
          <w:tcPr>
            <w:tcW w:w="7229" w:type="dxa"/>
            <w:tcBorders>
              <w:top w:val="single" w:sz="4" w:space="0" w:color="000000"/>
              <w:left w:val="single" w:sz="4" w:space="0" w:color="000000"/>
              <w:bottom w:val="single" w:sz="4" w:space="0" w:color="000000"/>
              <w:right w:val="single" w:sz="4" w:space="0" w:color="000000"/>
            </w:tcBorders>
            <w:hideMark/>
          </w:tcPr>
          <w:p w14:paraId="4D856B1C" w14:textId="77777777" w:rsidR="00EA4471" w:rsidRDefault="00EA4471">
            <w:pPr>
              <w:pStyle w:val="BodyTextIndent3"/>
              <w:spacing w:line="276" w:lineRule="auto"/>
              <w:ind w:left="0" w:firstLine="0"/>
              <w:rPr>
                <w:color w:val="000000"/>
              </w:rPr>
            </w:pPr>
            <w:r>
              <w:rPr>
                <w:color w:val="000000"/>
              </w:rPr>
              <w:t>Quality of various products being transported in the pipeline</w:t>
            </w:r>
          </w:p>
        </w:tc>
        <w:tc>
          <w:tcPr>
            <w:tcW w:w="1134" w:type="dxa"/>
            <w:tcBorders>
              <w:top w:val="single" w:sz="4" w:space="0" w:color="000000"/>
              <w:left w:val="single" w:sz="4" w:space="0" w:color="000000"/>
              <w:bottom w:val="single" w:sz="4" w:space="0" w:color="000000"/>
              <w:right w:val="single" w:sz="4" w:space="0" w:color="000000"/>
            </w:tcBorders>
          </w:tcPr>
          <w:p w14:paraId="126AEDB6" w14:textId="77777777" w:rsidR="00EA4471" w:rsidRDefault="00EA4471">
            <w:pPr>
              <w:pStyle w:val="BodyTextIndent3"/>
              <w:spacing w:line="276" w:lineRule="auto"/>
              <w:ind w:left="0" w:firstLine="0"/>
              <w:rPr>
                <w:color w:val="000000"/>
              </w:rPr>
            </w:pPr>
          </w:p>
        </w:tc>
      </w:tr>
      <w:tr w:rsidR="00EA4471" w14:paraId="1C59236B" w14:textId="77777777" w:rsidTr="00EA4471">
        <w:tc>
          <w:tcPr>
            <w:tcW w:w="633" w:type="dxa"/>
            <w:tcBorders>
              <w:top w:val="single" w:sz="4" w:space="0" w:color="000000"/>
              <w:left w:val="single" w:sz="4" w:space="0" w:color="000000"/>
              <w:bottom w:val="single" w:sz="4" w:space="0" w:color="000000"/>
              <w:right w:val="single" w:sz="4" w:space="0" w:color="000000"/>
            </w:tcBorders>
            <w:hideMark/>
          </w:tcPr>
          <w:p w14:paraId="236C2D4C" w14:textId="77777777" w:rsidR="00EA4471" w:rsidRDefault="00EA4471">
            <w:pPr>
              <w:pStyle w:val="BodyTextIndent3"/>
              <w:spacing w:line="276" w:lineRule="auto"/>
              <w:ind w:left="0" w:firstLine="0"/>
              <w:rPr>
                <w:color w:val="000000"/>
              </w:rPr>
            </w:pPr>
            <w:r>
              <w:rPr>
                <w:color w:val="000000"/>
              </w:rPr>
              <w:t>8</w:t>
            </w:r>
          </w:p>
        </w:tc>
        <w:tc>
          <w:tcPr>
            <w:tcW w:w="7229" w:type="dxa"/>
            <w:tcBorders>
              <w:top w:val="single" w:sz="4" w:space="0" w:color="000000"/>
              <w:left w:val="single" w:sz="4" w:space="0" w:color="000000"/>
              <w:bottom w:val="single" w:sz="4" w:space="0" w:color="000000"/>
              <w:right w:val="single" w:sz="4" w:space="0" w:color="000000"/>
            </w:tcBorders>
            <w:hideMark/>
          </w:tcPr>
          <w:p w14:paraId="081271F6" w14:textId="77777777" w:rsidR="00EA4471" w:rsidRDefault="00EA4471">
            <w:pPr>
              <w:pStyle w:val="BodyTextIndent3"/>
              <w:spacing w:line="276" w:lineRule="auto"/>
              <w:ind w:left="0" w:firstLine="0"/>
              <w:rPr>
                <w:color w:val="000000"/>
              </w:rPr>
            </w:pPr>
            <w:r>
              <w:rPr>
                <w:color w:val="000000"/>
              </w:rPr>
              <w:t>Constant and variable parameters used under steady state conditions for determining capacity of the pipeline</w:t>
            </w:r>
          </w:p>
        </w:tc>
        <w:tc>
          <w:tcPr>
            <w:tcW w:w="1134" w:type="dxa"/>
            <w:tcBorders>
              <w:top w:val="single" w:sz="4" w:space="0" w:color="000000"/>
              <w:left w:val="single" w:sz="4" w:space="0" w:color="000000"/>
              <w:bottom w:val="single" w:sz="4" w:space="0" w:color="000000"/>
              <w:right w:val="single" w:sz="4" w:space="0" w:color="000000"/>
            </w:tcBorders>
          </w:tcPr>
          <w:p w14:paraId="46AAAA6E" w14:textId="77777777" w:rsidR="00EA4471" w:rsidRDefault="00EA4471">
            <w:pPr>
              <w:pStyle w:val="BodyTextIndent3"/>
              <w:spacing w:line="276" w:lineRule="auto"/>
              <w:ind w:left="0" w:firstLine="0"/>
              <w:rPr>
                <w:color w:val="000000"/>
              </w:rPr>
            </w:pPr>
          </w:p>
        </w:tc>
      </w:tr>
      <w:tr w:rsidR="00EA4471" w14:paraId="39269E42" w14:textId="77777777" w:rsidTr="00EA4471">
        <w:tc>
          <w:tcPr>
            <w:tcW w:w="633" w:type="dxa"/>
            <w:tcBorders>
              <w:top w:val="single" w:sz="4" w:space="0" w:color="000000"/>
              <w:left w:val="single" w:sz="4" w:space="0" w:color="000000"/>
              <w:bottom w:val="single" w:sz="4" w:space="0" w:color="000000"/>
              <w:right w:val="single" w:sz="4" w:space="0" w:color="000000"/>
            </w:tcBorders>
            <w:hideMark/>
          </w:tcPr>
          <w:p w14:paraId="22B0711A" w14:textId="77777777" w:rsidR="00EA4471" w:rsidRDefault="00EA4471">
            <w:pPr>
              <w:pStyle w:val="BodyTextIndent3"/>
              <w:spacing w:line="276" w:lineRule="auto"/>
              <w:ind w:left="0" w:firstLine="0"/>
              <w:rPr>
                <w:color w:val="000000"/>
              </w:rPr>
            </w:pPr>
            <w:r>
              <w:rPr>
                <w:color w:val="000000"/>
              </w:rPr>
              <w:t>9</w:t>
            </w:r>
          </w:p>
        </w:tc>
        <w:tc>
          <w:tcPr>
            <w:tcW w:w="7229" w:type="dxa"/>
            <w:tcBorders>
              <w:top w:val="single" w:sz="4" w:space="0" w:color="000000"/>
              <w:left w:val="single" w:sz="4" w:space="0" w:color="000000"/>
              <w:bottom w:val="single" w:sz="4" w:space="0" w:color="000000"/>
              <w:right w:val="single" w:sz="4" w:space="0" w:color="000000"/>
            </w:tcBorders>
            <w:hideMark/>
          </w:tcPr>
          <w:p w14:paraId="65EFB2E2" w14:textId="77777777" w:rsidR="00EA4471" w:rsidRDefault="00EA4471">
            <w:pPr>
              <w:pStyle w:val="BodyTextIndent3"/>
              <w:spacing w:line="276" w:lineRule="auto"/>
              <w:ind w:left="0" w:firstLine="0"/>
              <w:rPr>
                <w:color w:val="000000"/>
              </w:rPr>
            </w:pPr>
            <w:r>
              <w:rPr>
                <w:color w:val="000000"/>
              </w:rPr>
              <w:t xml:space="preserve">Entity agrees to have considered the Technical standards, specifications and safety standards as specified by the Board </w:t>
            </w:r>
          </w:p>
        </w:tc>
        <w:tc>
          <w:tcPr>
            <w:tcW w:w="1134" w:type="dxa"/>
            <w:tcBorders>
              <w:top w:val="single" w:sz="4" w:space="0" w:color="000000"/>
              <w:left w:val="single" w:sz="4" w:space="0" w:color="000000"/>
              <w:bottom w:val="single" w:sz="4" w:space="0" w:color="000000"/>
              <w:right w:val="single" w:sz="4" w:space="0" w:color="000000"/>
            </w:tcBorders>
            <w:hideMark/>
          </w:tcPr>
          <w:p w14:paraId="37AE6A09" w14:textId="77777777" w:rsidR="00EA4471" w:rsidRDefault="00EA4471">
            <w:pPr>
              <w:pStyle w:val="BodyTextIndent3"/>
              <w:spacing w:line="276" w:lineRule="auto"/>
              <w:ind w:left="0" w:firstLine="0"/>
              <w:jc w:val="center"/>
              <w:rPr>
                <w:color w:val="000000"/>
              </w:rPr>
            </w:pPr>
            <w:r>
              <w:rPr>
                <w:color w:val="000000"/>
              </w:rPr>
              <w:t>Yes/ No</w:t>
            </w:r>
          </w:p>
        </w:tc>
      </w:tr>
      <w:tr w:rsidR="00EA4471" w14:paraId="47ABD703" w14:textId="77777777" w:rsidTr="00EA4471">
        <w:tc>
          <w:tcPr>
            <w:tcW w:w="633" w:type="dxa"/>
            <w:tcBorders>
              <w:top w:val="single" w:sz="4" w:space="0" w:color="000000"/>
              <w:left w:val="single" w:sz="4" w:space="0" w:color="000000"/>
              <w:bottom w:val="single" w:sz="4" w:space="0" w:color="000000"/>
              <w:right w:val="single" w:sz="4" w:space="0" w:color="000000"/>
            </w:tcBorders>
            <w:hideMark/>
          </w:tcPr>
          <w:p w14:paraId="19920C4A" w14:textId="77777777" w:rsidR="00EA4471" w:rsidRDefault="00EA4471">
            <w:pPr>
              <w:pStyle w:val="BodyTextIndent3"/>
              <w:spacing w:line="276" w:lineRule="auto"/>
              <w:ind w:left="0" w:firstLine="0"/>
              <w:rPr>
                <w:color w:val="000000"/>
              </w:rPr>
            </w:pPr>
            <w:r>
              <w:rPr>
                <w:color w:val="000000"/>
              </w:rPr>
              <w:t>10</w:t>
            </w:r>
          </w:p>
        </w:tc>
        <w:tc>
          <w:tcPr>
            <w:tcW w:w="7229" w:type="dxa"/>
            <w:tcBorders>
              <w:top w:val="single" w:sz="4" w:space="0" w:color="000000"/>
              <w:left w:val="single" w:sz="4" w:space="0" w:color="000000"/>
              <w:bottom w:val="single" w:sz="4" w:space="0" w:color="000000"/>
              <w:right w:val="single" w:sz="4" w:space="0" w:color="000000"/>
            </w:tcBorders>
            <w:hideMark/>
          </w:tcPr>
          <w:p w14:paraId="12EE4336" w14:textId="77777777" w:rsidR="00EA4471" w:rsidRDefault="00EA4471">
            <w:pPr>
              <w:pStyle w:val="BodyTextIndent3"/>
              <w:spacing w:line="276" w:lineRule="auto"/>
              <w:ind w:left="0" w:firstLine="0"/>
              <w:rPr>
                <w:color w:val="000000"/>
              </w:rPr>
            </w:pPr>
            <w:r>
              <w:rPr>
                <w:color w:val="000000"/>
              </w:rPr>
              <w:t>Entity agrees to have considered the relevant provisions of Petroleum and Natural Gas Regulatory Board Regulations</w:t>
            </w:r>
          </w:p>
        </w:tc>
        <w:tc>
          <w:tcPr>
            <w:tcW w:w="1134" w:type="dxa"/>
            <w:tcBorders>
              <w:top w:val="single" w:sz="4" w:space="0" w:color="000000"/>
              <w:left w:val="single" w:sz="4" w:space="0" w:color="000000"/>
              <w:bottom w:val="single" w:sz="4" w:space="0" w:color="000000"/>
              <w:right w:val="single" w:sz="4" w:space="0" w:color="000000"/>
            </w:tcBorders>
            <w:hideMark/>
          </w:tcPr>
          <w:p w14:paraId="5995174D" w14:textId="77777777" w:rsidR="00EA4471" w:rsidRDefault="00EA4471">
            <w:pPr>
              <w:pStyle w:val="BodyTextIndent3"/>
              <w:spacing w:line="276" w:lineRule="auto"/>
              <w:ind w:left="0" w:firstLine="0"/>
              <w:jc w:val="center"/>
              <w:rPr>
                <w:color w:val="000000"/>
              </w:rPr>
            </w:pPr>
            <w:r>
              <w:rPr>
                <w:color w:val="000000"/>
              </w:rPr>
              <w:t>Yes/ No</w:t>
            </w:r>
          </w:p>
        </w:tc>
      </w:tr>
      <w:tr w:rsidR="00EA4471" w14:paraId="5C4082C5" w14:textId="77777777" w:rsidTr="00EA4471">
        <w:tc>
          <w:tcPr>
            <w:tcW w:w="633" w:type="dxa"/>
            <w:tcBorders>
              <w:top w:val="single" w:sz="4" w:space="0" w:color="000000"/>
              <w:left w:val="single" w:sz="4" w:space="0" w:color="000000"/>
              <w:bottom w:val="single" w:sz="4" w:space="0" w:color="000000"/>
              <w:right w:val="single" w:sz="4" w:space="0" w:color="000000"/>
            </w:tcBorders>
            <w:hideMark/>
          </w:tcPr>
          <w:p w14:paraId="26647977" w14:textId="77777777" w:rsidR="00EA4471" w:rsidRDefault="00EA4471">
            <w:pPr>
              <w:pStyle w:val="BodyTextIndent3"/>
              <w:spacing w:line="276" w:lineRule="auto"/>
              <w:ind w:left="0" w:firstLine="0"/>
              <w:rPr>
                <w:color w:val="000000"/>
              </w:rPr>
            </w:pPr>
            <w:r>
              <w:rPr>
                <w:color w:val="000000"/>
              </w:rPr>
              <w:t>11</w:t>
            </w:r>
          </w:p>
        </w:tc>
        <w:tc>
          <w:tcPr>
            <w:tcW w:w="7229" w:type="dxa"/>
            <w:tcBorders>
              <w:top w:val="single" w:sz="4" w:space="0" w:color="000000"/>
              <w:left w:val="single" w:sz="4" w:space="0" w:color="000000"/>
              <w:bottom w:val="single" w:sz="4" w:space="0" w:color="000000"/>
              <w:right w:val="single" w:sz="4" w:space="0" w:color="000000"/>
            </w:tcBorders>
            <w:hideMark/>
          </w:tcPr>
          <w:p w14:paraId="779488DE" w14:textId="77777777" w:rsidR="00EA4471" w:rsidRDefault="00EA4471">
            <w:pPr>
              <w:pStyle w:val="BodyTextIndent3"/>
              <w:spacing w:line="276" w:lineRule="auto"/>
              <w:ind w:left="0" w:firstLine="0"/>
              <w:rPr>
                <w:color w:val="000000"/>
              </w:rPr>
            </w:pPr>
            <w:r>
              <w:rPr>
                <w:color w:val="000000"/>
              </w:rPr>
              <w:t>Quality specifications considered for the purpose of capacity determination</w:t>
            </w:r>
          </w:p>
        </w:tc>
        <w:tc>
          <w:tcPr>
            <w:tcW w:w="1134" w:type="dxa"/>
            <w:tcBorders>
              <w:top w:val="single" w:sz="4" w:space="0" w:color="000000"/>
              <w:left w:val="single" w:sz="4" w:space="0" w:color="000000"/>
              <w:bottom w:val="single" w:sz="4" w:space="0" w:color="000000"/>
              <w:right w:val="single" w:sz="4" w:space="0" w:color="000000"/>
            </w:tcBorders>
          </w:tcPr>
          <w:p w14:paraId="1853A729" w14:textId="77777777" w:rsidR="00EA4471" w:rsidRDefault="00EA4471">
            <w:pPr>
              <w:pStyle w:val="BodyTextIndent3"/>
              <w:spacing w:line="276" w:lineRule="auto"/>
              <w:ind w:left="0" w:firstLine="0"/>
              <w:rPr>
                <w:color w:val="000000"/>
              </w:rPr>
            </w:pPr>
          </w:p>
        </w:tc>
      </w:tr>
      <w:tr w:rsidR="00EA4471" w14:paraId="34340D4E" w14:textId="77777777" w:rsidTr="00EA4471">
        <w:tc>
          <w:tcPr>
            <w:tcW w:w="633" w:type="dxa"/>
            <w:tcBorders>
              <w:top w:val="single" w:sz="4" w:space="0" w:color="000000"/>
              <w:left w:val="single" w:sz="4" w:space="0" w:color="000000"/>
              <w:bottom w:val="single" w:sz="4" w:space="0" w:color="000000"/>
              <w:right w:val="single" w:sz="4" w:space="0" w:color="000000"/>
            </w:tcBorders>
            <w:hideMark/>
          </w:tcPr>
          <w:p w14:paraId="31E5A638" w14:textId="77777777" w:rsidR="00EA4471" w:rsidRDefault="00EA4471">
            <w:pPr>
              <w:pStyle w:val="BodyTextIndent3"/>
              <w:spacing w:line="276" w:lineRule="auto"/>
              <w:ind w:left="0" w:firstLine="0"/>
              <w:rPr>
                <w:color w:val="000000"/>
              </w:rPr>
            </w:pPr>
            <w:r>
              <w:rPr>
                <w:color w:val="000000"/>
              </w:rPr>
              <w:t>12</w:t>
            </w:r>
          </w:p>
        </w:tc>
        <w:tc>
          <w:tcPr>
            <w:tcW w:w="7229" w:type="dxa"/>
            <w:tcBorders>
              <w:top w:val="single" w:sz="4" w:space="0" w:color="000000"/>
              <w:left w:val="single" w:sz="4" w:space="0" w:color="000000"/>
              <w:bottom w:val="single" w:sz="4" w:space="0" w:color="000000"/>
              <w:right w:val="single" w:sz="4" w:space="0" w:color="000000"/>
            </w:tcBorders>
            <w:hideMark/>
          </w:tcPr>
          <w:p w14:paraId="52268656" w14:textId="77777777" w:rsidR="00EA4471" w:rsidRDefault="00EA4471">
            <w:pPr>
              <w:pStyle w:val="BodyTextIndent3"/>
              <w:spacing w:line="276" w:lineRule="auto"/>
              <w:ind w:left="0" w:firstLine="0"/>
              <w:rPr>
                <w:color w:val="000000"/>
              </w:rPr>
            </w:pPr>
            <w:r>
              <w:rPr>
                <w:color w:val="000000"/>
              </w:rPr>
              <w:t>Capacity of the pipeline under existing operating conditions</w:t>
            </w:r>
          </w:p>
        </w:tc>
        <w:tc>
          <w:tcPr>
            <w:tcW w:w="1134" w:type="dxa"/>
            <w:tcBorders>
              <w:top w:val="single" w:sz="4" w:space="0" w:color="000000"/>
              <w:left w:val="single" w:sz="4" w:space="0" w:color="000000"/>
              <w:bottom w:val="single" w:sz="4" w:space="0" w:color="000000"/>
              <w:right w:val="single" w:sz="4" w:space="0" w:color="000000"/>
            </w:tcBorders>
          </w:tcPr>
          <w:p w14:paraId="2AFC82D6" w14:textId="77777777" w:rsidR="00EA4471" w:rsidRDefault="00EA4471">
            <w:pPr>
              <w:pStyle w:val="BodyTextIndent3"/>
              <w:spacing w:line="276" w:lineRule="auto"/>
              <w:ind w:left="0" w:firstLine="0"/>
              <w:rPr>
                <w:color w:val="000000"/>
              </w:rPr>
            </w:pPr>
          </w:p>
        </w:tc>
      </w:tr>
      <w:tr w:rsidR="00EA4471" w14:paraId="4B955CCA" w14:textId="77777777" w:rsidTr="00EA4471">
        <w:tc>
          <w:tcPr>
            <w:tcW w:w="633" w:type="dxa"/>
            <w:tcBorders>
              <w:top w:val="single" w:sz="4" w:space="0" w:color="000000"/>
              <w:left w:val="single" w:sz="4" w:space="0" w:color="000000"/>
              <w:bottom w:val="single" w:sz="4" w:space="0" w:color="000000"/>
              <w:right w:val="single" w:sz="4" w:space="0" w:color="000000"/>
            </w:tcBorders>
            <w:hideMark/>
          </w:tcPr>
          <w:p w14:paraId="4BEF40B4" w14:textId="77777777" w:rsidR="00EA4471" w:rsidRDefault="00EA4471">
            <w:pPr>
              <w:pStyle w:val="BodyTextIndent3"/>
              <w:spacing w:line="276" w:lineRule="auto"/>
              <w:ind w:left="0" w:firstLine="0"/>
              <w:rPr>
                <w:color w:val="000000"/>
              </w:rPr>
            </w:pPr>
            <w:r>
              <w:rPr>
                <w:color w:val="000000"/>
              </w:rPr>
              <w:t>13</w:t>
            </w:r>
          </w:p>
        </w:tc>
        <w:tc>
          <w:tcPr>
            <w:tcW w:w="7229" w:type="dxa"/>
            <w:tcBorders>
              <w:top w:val="single" w:sz="4" w:space="0" w:color="000000"/>
              <w:left w:val="single" w:sz="4" w:space="0" w:color="000000"/>
              <w:bottom w:val="single" w:sz="4" w:space="0" w:color="000000"/>
              <w:right w:val="single" w:sz="4" w:space="0" w:color="000000"/>
            </w:tcBorders>
            <w:hideMark/>
          </w:tcPr>
          <w:p w14:paraId="34920B4A" w14:textId="1B4946DC" w:rsidR="00EA4471" w:rsidRDefault="00EA4471" w:rsidP="00D37203">
            <w:pPr>
              <w:pStyle w:val="BodyTextIndent3"/>
              <w:spacing w:line="276" w:lineRule="auto"/>
              <w:ind w:left="0" w:firstLine="0"/>
              <w:rPr>
                <w:color w:val="000000"/>
              </w:rPr>
            </w:pPr>
            <w:r>
              <w:rPr>
                <w:color w:val="000000"/>
              </w:rPr>
              <w:t xml:space="preserve">Maximum achievable Capacity of the pipeline under steady state conditions as determined under </w:t>
            </w:r>
            <w:r w:rsidR="00D37203">
              <w:rPr>
                <w:rStyle w:val="FootnoteReference"/>
                <w:color w:val="000000"/>
              </w:rPr>
              <w:footnoteReference w:id="26"/>
            </w:r>
            <w:r w:rsidR="00D37203">
              <w:rPr>
                <w:color w:val="000000"/>
              </w:rPr>
              <w:t>[regulation]</w:t>
            </w:r>
            <w:r>
              <w:rPr>
                <w:color w:val="000000"/>
              </w:rPr>
              <w:t xml:space="preserve"> 5 of these regulations</w:t>
            </w:r>
          </w:p>
        </w:tc>
        <w:tc>
          <w:tcPr>
            <w:tcW w:w="1134" w:type="dxa"/>
            <w:tcBorders>
              <w:top w:val="single" w:sz="4" w:space="0" w:color="000000"/>
              <w:left w:val="single" w:sz="4" w:space="0" w:color="000000"/>
              <w:bottom w:val="single" w:sz="4" w:space="0" w:color="000000"/>
              <w:right w:val="single" w:sz="4" w:space="0" w:color="000000"/>
            </w:tcBorders>
          </w:tcPr>
          <w:p w14:paraId="61C7DDD0" w14:textId="77777777" w:rsidR="00EA4471" w:rsidRDefault="00EA4471">
            <w:pPr>
              <w:pStyle w:val="BodyTextIndent3"/>
              <w:spacing w:line="276" w:lineRule="auto"/>
              <w:ind w:left="0" w:firstLine="0"/>
              <w:jc w:val="center"/>
              <w:rPr>
                <w:color w:val="000000"/>
              </w:rPr>
            </w:pPr>
          </w:p>
        </w:tc>
      </w:tr>
      <w:tr w:rsidR="00EA4471" w14:paraId="08C648A3" w14:textId="77777777" w:rsidTr="00EA4471">
        <w:tc>
          <w:tcPr>
            <w:tcW w:w="633" w:type="dxa"/>
            <w:tcBorders>
              <w:top w:val="single" w:sz="4" w:space="0" w:color="000000"/>
              <w:left w:val="single" w:sz="4" w:space="0" w:color="000000"/>
              <w:bottom w:val="single" w:sz="4" w:space="0" w:color="000000"/>
              <w:right w:val="single" w:sz="4" w:space="0" w:color="000000"/>
            </w:tcBorders>
            <w:hideMark/>
          </w:tcPr>
          <w:p w14:paraId="3C157E43" w14:textId="77777777" w:rsidR="00EA4471" w:rsidRDefault="00EA4471">
            <w:pPr>
              <w:pStyle w:val="BodyTextIndent3"/>
              <w:spacing w:line="276" w:lineRule="auto"/>
              <w:ind w:left="0" w:firstLine="0"/>
              <w:rPr>
                <w:color w:val="000000"/>
              </w:rPr>
            </w:pPr>
            <w:r>
              <w:rPr>
                <w:color w:val="000000"/>
              </w:rPr>
              <w:t>14</w:t>
            </w:r>
          </w:p>
        </w:tc>
        <w:tc>
          <w:tcPr>
            <w:tcW w:w="7229" w:type="dxa"/>
            <w:tcBorders>
              <w:top w:val="single" w:sz="4" w:space="0" w:color="000000"/>
              <w:left w:val="single" w:sz="4" w:space="0" w:color="000000"/>
              <w:bottom w:val="single" w:sz="4" w:space="0" w:color="000000"/>
              <w:right w:val="single" w:sz="4" w:space="0" w:color="000000"/>
            </w:tcBorders>
            <w:hideMark/>
          </w:tcPr>
          <w:p w14:paraId="1F9991C1" w14:textId="653021B6" w:rsidR="00EA4471" w:rsidRDefault="00EA4471" w:rsidP="002F034F">
            <w:pPr>
              <w:pStyle w:val="BodyTextIndent3"/>
              <w:spacing w:line="276" w:lineRule="auto"/>
              <w:ind w:left="0" w:firstLine="0"/>
              <w:rPr>
                <w:color w:val="000000"/>
              </w:rPr>
            </w:pPr>
            <w:r>
              <w:rPr>
                <w:color w:val="000000"/>
              </w:rPr>
              <w:t xml:space="preserve">Section wise maximum achievable capacity of the pipeline as determined under </w:t>
            </w:r>
            <w:r w:rsidR="00AB0B55">
              <w:rPr>
                <w:rStyle w:val="FootnoteReference"/>
                <w:color w:val="000000"/>
              </w:rPr>
              <w:footnoteReference w:id="27"/>
            </w:r>
            <w:r w:rsidR="002F034F">
              <w:rPr>
                <w:color w:val="000000"/>
              </w:rPr>
              <w:t>[regulation]</w:t>
            </w:r>
            <w:r>
              <w:rPr>
                <w:color w:val="000000"/>
              </w:rPr>
              <w:t xml:space="preserve"> 5 of these regulations</w:t>
            </w:r>
          </w:p>
        </w:tc>
        <w:tc>
          <w:tcPr>
            <w:tcW w:w="1134" w:type="dxa"/>
            <w:tcBorders>
              <w:top w:val="single" w:sz="4" w:space="0" w:color="000000"/>
              <w:left w:val="single" w:sz="4" w:space="0" w:color="000000"/>
              <w:bottom w:val="single" w:sz="4" w:space="0" w:color="000000"/>
              <w:right w:val="single" w:sz="4" w:space="0" w:color="000000"/>
            </w:tcBorders>
          </w:tcPr>
          <w:p w14:paraId="6179628B" w14:textId="77777777" w:rsidR="00EA4471" w:rsidRDefault="00EA4471">
            <w:pPr>
              <w:pStyle w:val="BodyTextIndent3"/>
              <w:spacing w:line="276" w:lineRule="auto"/>
              <w:ind w:left="0" w:firstLine="0"/>
              <w:jc w:val="center"/>
              <w:rPr>
                <w:color w:val="000000"/>
              </w:rPr>
            </w:pPr>
          </w:p>
        </w:tc>
      </w:tr>
      <w:tr w:rsidR="00EA4471" w14:paraId="71935462" w14:textId="77777777" w:rsidTr="00EA4471">
        <w:tc>
          <w:tcPr>
            <w:tcW w:w="633" w:type="dxa"/>
            <w:tcBorders>
              <w:top w:val="single" w:sz="4" w:space="0" w:color="000000"/>
              <w:left w:val="single" w:sz="4" w:space="0" w:color="000000"/>
              <w:bottom w:val="single" w:sz="4" w:space="0" w:color="000000"/>
              <w:right w:val="single" w:sz="4" w:space="0" w:color="000000"/>
            </w:tcBorders>
          </w:tcPr>
          <w:p w14:paraId="39DD5C66" w14:textId="0FC1F4BD" w:rsidR="00EA4471" w:rsidRDefault="00AB0B55">
            <w:pPr>
              <w:pStyle w:val="BodyTextIndent3"/>
              <w:spacing w:line="276" w:lineRule="auto"/>
              <w:ind w:left="0" w:firstLine="0"/>
              <w:rPr>
                <w:color w:val="000000"/>
              </w:rPr>
            </w:pPr>
            <w:r>
              <w:rPr>
                <w:rStyle w:val="FootnoteReference"/>
                <w:color w:val="000000"/>
              </w:rPr>
              <w:footnoteReference w:id="28"/>
            </w:r>
            <w:r>
              <w:rPr>
                <w:color w:val="000000"/>
              </w:rPr>
              <w:t>[15]</w:t>
            </w:r>
          </w:p>
        </w:tc>
        <w:tc>
          <w:tcPr>
            <w:tcW w:w="7229" w:type="dxa"/>
            <w:tcBorders>
              <w:top w:val="single" w:sz="4" w:space="0" w:color="000000"/>
              <w:left w:val="single" w:sz="4" w:space="0" w:color="000000"/>
              <w:bottom w:val="single" w:sz="4" w:space="0" w:color="000000"/>
              <w:right w:val="single" w:sz="4" w:space="0" w:color="000000"/>
            </w:tcBorders>
            <w:hideMark/>
          </w:tcPr>
          <w:p w14:paraId="7C2E7DF5" w14:textId="77777777" w:rsidR="00EA4471" w:rsidRDefault="00EA4471">
            <w:pPr>
              <w:pStyle w:val="BodyTextIndent3"/>
              <w:spacing w:line="276" w:lineRule="auto"/>
              <w:ind w:left="0" w:firstLine="0"/>
              <w:rPr>
                <w:color w:val="000000"/>
              </w:rPr>
            </w:pPr>
            <w:r>
              <w:rPr>
                <w:color w:val="000000"/>
              </w:rPr>
              <w:t>Expected addition of entry points and exit points scheduled in near future</w:t>
            </w:r>
          </w:p>
        </w:tc>
        <w:tc>
          <w:tcPr>
            <w:tcW w:w="1134" w:type="dxa"/>
            <w:tcBorders>
              <w:top w:val="single" w:sz="4" w:space="0" w:color="000000"/>
              <w:left w:val="single" w:sz="4" w:space="0" w:color="000000"/>
              <w:bottom w:val="single" w:sz="4" w:space="0" w:color="000000"/>
              <w:right w:val="single" w:sz="4" w:space="0" w:color="000000"/>
            </w:tcBorders>
          </w:tcPr>
          <w:p w14:paraId="1EA31618" w14:textId="77777777" w:rsidR="00EA4471" w:rsidRDefault="00EA4471">
            <w:pPr>
              <w:pStyle w:val="BodyTextIndent3"/>
              <w:spacing w:line="276" w:lineRule="auto"/>
              <w:ind w:left="0" w:firstLine="0"/>
              <w:jc w:val="center"/>
              <w:rPr>
                <w:color w:val="000000"/>
              </w:rPr>
            </w:pPr>
          </w:p>
        </w:tc>
      </w:tr>
      <w:tr w:rsidR="00EA4471" w14:paraId="0DAD3D7C" w14:textId="77777777" w:rsidTr="00EA4471">
        <w:tc>
          <w:tcPr>
            <w:tcW w:w="633" w:type="dxa"/>
            <w:tcBorders>
              <w:top w:val="single" w:sz="4" w:space="0" w:color="000000"/>
              <w:left w:val="single" w:sz="4" w:space="0" w:color="000000"/>
              <w:bottom w:val="single" w:sz="4" w:space="0" w:color="000000"/>
              <w:right w:val="single" w:sz="4" w:space="0" w:color="000000"/>
            </w:tcBorders>
          </w:tcPr>
          <w:p w14:paraId="3C192040" w14:textId="77777777" w:rsidR="00EA4471" w:rsidRDefault="00EA4471">
            <w:pPr>
              <w:pStyle w:val="BodyTextIndent3"/>
              <w:spacing w:line="276" w:lineRule="auto"/>
              <w:ind w:left="0" w:firstLine="0"/>
              <w:rPr>
                <w:color w:val="000000"/>
              </w:rPr>
            </w:pPr>
          </w:p>
        </w:tc>
        <w:tc>
          <w:tcPr>
            <w:tcW w:w="7229" w:type="dxa"/>
            <w:tcBorders>
              <w:top w:val="single" w:sz="4" w:space="0" w:color="000000"/>
              <w:left w:val="single" w:sz="4" w:space="0" w:color="000000"/>
              <w:bottom w:val="single" w:sz="4" w:space="0" w:color="000000"/>
              <w:right w:val="single" w:sz="4" w:space="0" w:color="000000"/>
            </w:tcBorders>
          </w:tcPr>
          <w:p w14:paraId="2AF6F96A" w14:textId="77777777" w:rsidR="00EA4471" w:rsidRDefault="00EA4471">
            <w:pPr>
              <w:pStyle w:val="BodyTextIndent3"/>
              <w:spacing w:line="276" w:lineRule="auto"/>
              <w:ind w:left="0" w:firstLine="0"/>
              <w:rPr>
                <w:color w:val="000000"/>
              </w:rPr>
            </w:pPr>
          </w:p>
        </w:tc>
        <w:tc>
          <w:tcPr>
            <w:tcW w:w="1134" w:type="dxa"/>
            <w:tcBorders>
              <w:top w:val="single" w:sz="4" w:space="0" w:color="000000"/>
              <w:left w:val="single" w:sz="4" w:space="0" w:color="000000"/>
              <w:bottom w:val="single" w:sz="4" w:space="0" w:color="000000"/>
              <w:right w:val="single" w:sz="4" w:space="0" w:color="000000"/>
            </w:tcBorders>
          </w:tcPr>
          <w:p w14:paraId="5FCB19E5" w14:textId="77777777" w:rsidR="00EA4471" w:rsidRDefault="00EA4471">
            <w:pPr>
              <w:pStyle w:val="BodyTextIndent3"/>
              <w:spacing w:line="276" w:lineRule="auto"/>
              <w:ind w:left="0" w:firstLine="0"/>
              <w:jc w:val="center"/>
              <w:rPr>
                <w:color w:val="000000"/>
              </w:rPr>
            </w:pPr>
          </w:p>
        </w:tc>
      </w:tr>
    </w:tbl>
    <w:p w14:paraId="4A1C88FA" w14:textId="77777777" w:rsidR="00EA4471" w:rsidRDefault="00EA4471" w:rsidP="00EA4471">
      <w:pPr>
        <w:spacing w:after="200" w:line="276" w:lineRule="auto"/>
        <w:rPr>
          <w:color w:val="000000"/>
        </w:rPr>
      </w:pPr>
    </w:p>
    <w:p w14:paraId="3B8BFB93" w14:textId="7F519704" w:rsidR="00A93D83" w:rsidRDefault="00EA4471" w:rsidP="00EA4471">
      <w:pPr>
        <w:spacing w:after="200" w:line="276" w:lineRule="auto"/>
        <w:ind w:left="426"/>
      </w:pPr>
      <w:r>
        <w:rPr>
          <w:color w:val="000000"/>
        </w:rPr>
        <w:t xml:space="preserve">Note: </w:t>
      </w:r>
      <w:r w:rsidR="00F93A3C">
        <w:rPr>
          <w:rStyle w:val="FootnoteReference"/>
          <w:color w:val="000000"/>
        </w:rPr>
        <w:footnoteReference w:id="29"/>
      </w:r>
      <w:r w:rsidR="00A93D83">
        <w:rPr>
          <w:color w:val="000000"/>
        </w:rPr>
        <w:t>[</w:t>
      </w:r>
      <w:r w:rsidR="00A93D83">
        <w:t>(</w:t>
      </w:r>
      <w:proofErr w:type="spellStart"/>
      <w:r w:rsidR="00A93D83">
        <w:t>i</w:t>
      </w:r>
      <w:proofErr w:type="spellEnd"/>
      <w:r w:rsidR="00A93D83">
        <w:t xml:space="preserve">) Submit the system flow diagram, hydraulic gradient and simulation files of software package used for capacity determination. </w:t>
      </w:r>
    </w:p>
    <w:p w14:paraId="43BFAADF" w14:textId="028A4160" w:rsidR="00EA4471" w:rsidRDefault="00A93D83" w:rsidP="00EA4471">
      <w:pPr>
        <w:spacing w:after="200" w:line="276" w:lineRule="auto"/>
        <w:ind w:left="426"/>
        <w:rPr>
          <w:color w:val="000000"/>
        </w:rPr>
      </w:pPr>
      <w:r>
        <w:t>(ii) Above information shall be approved by person authorized by the board of entity.</w:t>
      </w:r>
      <w:proofErr w:type="gramStart"/>
      <w:r>
        <w:t xml:space="preserve">” </w:t>
      </w:r>
      <w:r>
        <w:rPr>
          <w:color w:val="000000"/>
        </w:rPr>
        <w:t>]</w:t>
      </w:r>
      <w:proofErr w:type="gramEnd"/>
    </w:p>
    <w:p w14:paraId="2B0B14DD" w14:textId="77777777" w:rsidR="00EA4471" w:rsidRDefault="00EA4471" w:rsidP="00EA4471">
      <w:pPr>
        <w:pStyle w:val="BodyTextIndent3"/>
        <w:spacing w:line="276" w:lineRule="auto"/>
        <w:ind w:left="360" w:firstLine="0"/>
        <w:jc w:val="center"/>
        <w:rPr>
          <w:b/>
          <w:color w:val="000000"/>
          <w:u w:val="single"/>
        </w:rPr>
      </w:pPr>
      <w:r>
        <w:rPr>
          <w:b/>
          <w:color w:val="000000"/>
        </w:rPr>
        <w:br w:type="page"/>
      </w:r>
      <w:r>
        <w:rPr>
          <w:b/>
          <w:color w:val="000000"/>
          <w:u w:val="single"/>
        </w:rPr>
        <w:lastRenderedPageBreak/>
        <w:t>Schedule C</w:t>
      </w:r>
    </w:p>
    <w:p w14:paraId="632C32AE" w14:textId="77777777" w:rsidR="00EA4471" w:rsidRDefault="00EA4471" w:rsidP="00EA4471">
      <w:pPr>
        <w:pStyle w:val="BodyTextIndent3"/>
        <w:spacing w:line="276" w:lineRule="auto"/>
        <w:ind w:left="357" w:firstLine="0"/>
        <w:jc w:val="center"/>
        <w:rPr>
          <w:color w:val="000000"/>
        </w:rPr>
      </w:pPr>
      <w:r>
        <w:rPr>
          <w:color w:val="000000"/>
        </w:rPr>
        <w:t>[see regulation 6(b)]</w:t>
      </w:r>
    </w:p>
    <w:p w14:paraId="31A13998" w14:textId="77777777" w:rsidR="00EA4471" w:rsidRDefault="00EA4471" w:rsidP="00EA4471">
      <w:pPr>
        <w:pStyle w:val="BodyTextIndent3"/>
        <w:spacing w:line="276" w:lineRule="auto"/>
        <w:ind w:left="357" w:firstLine="0"/>
        <w:jc w:val="center"/>
        <w:rPr>
          <w:color w:val="000000"/>
        </w:rPr>
      </w:pPr>
    </w:p>
    <w:p w14:paraId="112B43C7" w14:textId="77777777" w:rsidR="00EA4471" w:rsidRDefault="00EA4471" w:rsidP="00EA4471">
      <w:pPr>
        <w:pStyle w:val="BodyTextIndent3"/>
        <w:spacing w:line="276" w:lineRule="auto"/>
        <w:ind w:left="357" w:firstLine="0"/>
        <w:jc w:val="center"/>
        <w:rPr>
          <w:color w:val="000000"/>
        </w:rPr>
      </w:pPr>
      <w:r>
        <w:rPr>
          <w:color w:val="000000"/>
        </w:rPr>
        <w:t>Format for declaring capacity of Petroleum, Petroleum Products and Natural Gas Pipeline by the Petroleum and Natural Gas Regulatory Board</w:t>
      </w:r>
    </w:p>
    <w:p w14:paraId="43D3EEAD" w14:textId="77777777" w:rsidR="00EA4471" w:rsidRDefault="00EA4471" w:rsidP="00EA4471">
      <w:pPr>
        <w:pStyle w:val="BodyTextIndent3"/>
        <w:spacing w:line="276" w:lineRule="auto"/>
        <w:ind w:left="357" w:firstLine="0"/>
        <w:jc w:val="center"/>
        <w:rPr>
          <w:color w:val="000000"/>
        </w:rPr>
      </w:pPr>
    </w:p>
    <w:p w14:paraId="34784455" w14:textId="77777777" w:rsidR="00EA4471" w:rsidRDefault="00EA4471" w:rsidP="00EA4471">
      <w:pPr>
        <w:pStyle w:val="BodyTextIndent3"/>
        <w:spacing w:line="276" w:lineRule="auto"/>
        <w:ind w:left="357" w:firstLine="0"/>
        <w:jc w:val="center"/>
        <w:rPr>
          <w:color w:val="000000"/>
        </w:rPr>
      </w:pPr>
    </w:p>
    <w:p w14:paraId="04E2306C" w14:textId="77777777" w:rsidR="00EA4471" w:rsidRDefault="00EA4471" w:rsidP="00EA4471">
      <w:pPr>
        <w:spacing w:after="200" w:line="276" w:lineRule="auto"/>
        <w:ind w:firstLine="357"/>
        <w:rPr>
          <w:color w:val="000000"/>
        </w:rPr>
      </w:pPr>
      <w:r>
        <w:rPr>
          <w:color w:val="000000"/>
        </w:rPr>
        <w:t>Date of declaration of capacity by the Board:          ………………………………</w:t>
      </w:r>
    </w:p>
    <w:tbl>
      <w:tblPr>
        <w:tblW w:w="0" w:type="auto"/>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12"/>
        <w:gridCol w:w="7086"/>
        <w:gridCol w:w="850"/>
      </w:tblGrid>
      <w:tr w:rsidR="00EA4471" w14:paraId="05A1CC25" w14:textId="77777777" w:rsidTr="00EA4471">
        <w:tc>
          <w:tcPr>
            <w:tcW w:w="633" w:type="dxa"/>
            <w:tcBorders>
              <w:top w:val="single" w:sz="4" w:space="0" w:color="000000"/>
              <w:left w:val="single" w:sz="4" w:space="0" w:color="000000"/>
              <w:bottom w:val="single" w:sz="4" w:space="0" w:color="000000"/>
              <w:right w:val="single" w:sz="4" w:space="0" w:color="000000"/>
            </w:tcBorders>
            <w:hideMark/>
          </w:tcPr>
          <w:p w14:paraId="746853E8" w14:textId="77777777" w:rsidR="00EA4471" w:rsidRDefault="00EA4471">
            <w:pPr>
              <w:pStyle w:val="BodyTextIndent3"/>
              <w:spacing w:line="276" w:lineRule="auto"/>
              <w:ind w:left="0" w:firstLine="0"/>
              <w:rPr>
                <w:color w:val="000000"/>
              </w:rPr>
            </w:pPr>
            <w:r>
              <w:rPr>
                <w:color w:val="000000"/>
              </w:rPr>
              <w:t>1</w:t>
            </w:r>
          </w:p>
        </w:tc>
        <w:tc>
          <w:tcPr>
            <w:tcW w:w="7467" w:type="dxa"/>
            <w:tcBorders>
              <w:top w:val="single" w:sz="4" w:space="0" w:color="000000"/>
              <w:left w:val="single" w:sz="4" w:space="0" w:color="000000"/>
              <w:bottom w:val="single" w:sz="4" w:space="0" w:color="000000"/>
              <w:right w:val="single" w:sz="4" w:space="0" w:color="000000"/>
            </w:tcBorders>
            <w:hideMark/>
          </w:tcPr>
          <w:p w14:paraId="6167DFB8" w14:textId="77777777" w:rsidR="00EA4471" w:rsidRDefault="00EA4471">
            <w:pPr>
              <w:pStyle w:val="BodyTextIndent3"/>
              <w:spacing w:line="276" w:lineRule="auto"/>
              <w:ind w:left="0" w:firstLine="0"/>
              <w:rPr>
                <w:color w:val="000000"/>
              </w:rPr>
            </w:pPr>
            <w:r>
              <w:rPr>
                <w:color w:val="000000"/>
              </w:rPr>
              <w:t>Name of Entity</w:t>
            </w:r>
          </w:p>
        </w:tc>
        <w:tc>
          <w:tcPr>
            <w:tcW w:w="896" w:type="dxa"/>
            <w:tcBorders>
              <w:top w:val="single" w:sz="4" w:space="0" w:color="000000"/>
              <w:left w:val="single" w:sz="4" w:space="0" w:color="000000"/>
              <w:bottom w:val="single" w:sz="4" w:space="0" w:color="000000"/>
              <w:right w:val="single" w:sz="4" w:space="0" w:color="000000"/>
            </w:tcBorders>
          </w:tcPr>
          <w:p w14:paraId="68FE7A2C" w14:textId="77777777" w:rsidR="00EA4471" w:rsidRDefault="00EA4471">
            <w:pPr>
              <w:pStyle w:val="BodyTextIndent3"/>
              <w:spacing w:line="276" w:lineRule="auto"/>
              <w:ind w:left="0" w:firstLine="0"/>
              <w:rPr>
                <w:color w:val="000000"/>
              </w:rPr>
            </w:pPr>
          </w:p>
        </w:tc>
      </w:tr>
      <w:tr w:rsidR="00EA4471" w14:paraId="5ACC74EB" w14:textId="77777777" w:rsidTr="00EA4471">
        <w:tc>
          <w:tcPr>
            <w:tcW w:w="633" w:type="dxa"/>
            <w:tcBorders>
              <w:top w:val="single" w:sz="4" w:space="0" w:color="000000"/>
              <w:left w:val="single" w:sz="4" w:space="0" w:color="000000"/>
              <w:bottom w:val="single" w:sz="4" w:space="0" w:color="000000"/>
              <w:right w:val="single" w:sz="4" w:space="0" w:color="000000"/>
            </w:tcBorders>
            <w:hideMark/>
          </w:tcPr>
          <w:p w14:paraId="2B2158F8" w14:textId="77777777" w:rsidR="00EA4471" w:rsidRDefault="00EA4471">
            <w:pPr>
              <w:pStyle w:val="BodyTextIndent3"/>
              <w:spacing w:line="276" w:lineRule="auto"/>
              <w:ind w:left="0" w:firstLine="0"/>
              <w:rPr>
                <w:color w:val="000000"/>
              </w:rPr>
            </w:pPr>
            <w:r>
              <w:rPr>
                <w:color w:val="000000"/>
              </w:rPr>
              <w:t>2</w:t>
            </w:r>
          </w:p>
        </w:tc>
        <w:tc>
          <w:tcPr>
            <w:tcW w:w="7467" w:type="dxa"/>
            <w:tcBorders>
              <w:top w:val="single" w:sz="4" w:space="0" w:color="000000"/>
              <w:left w:val="single" w:sz="4" w:space="0" w:color="000000"/>
              <w:bottom w:val="single" w:sz="4" w:space="0" w:color="000000"/>
              <w:right w:val="single" w:sz="4" w:space="0" w:color="000000"/>
            </w:tcBorders>
            <w:hideMark/>
          </w:tcPr>
          <w:p w14:paraId="395EFE68" w14:textId="77777777" w:rsidR="00EA4471" w:rsidRDefault="00EA4471">
            <w:pPr>
              <w:pStyle w:val="BodyTextIndent3"/>
              <w:spacing w:line="276" w:lineRule="auto"/>
              <w:ind w:left="0" w:firstLine="0"/>
              <w:rPr>
                <w:color w:val="000000"/>
              </w:rPr>
            </w:pPr>
            <w:r>
              <w:rPr>
                <w:color w:val="000000"/>
              </w:rPr>
              <w:t>Address and Contact details of Entity</w:t>
            </w:r>
          </w:p>
        </w:tc>
        <w:tc>
          <w:tcPr>
            <w:tcW w:w="896" w:type="dxa"/>
            <w:tcBorders>
              <w:top w:val="single" w:sz="4" w:space="0" w:color="000000"/>
              <w:left w:val="single" w:sz="4" w:space="0" w:color="000000"/>
              <w:bottom w:val="single" w:sz="4" w:space="0" w:color="000000"/>
              <w:right w:val="single" w:sz="4" w:space="0" w:color="000000"/>
            </w:tcBorders>
          </w:tcPr>
          <w:p w14:paraId="0C52AD3B" w14:textId="77777777" w:rsidR="00EA4471" w:rsidRDefault="00EA4471">
            <w:pPr>
              <w:pStyle w:val="BodyTextIndent3"/>
              <w:spacing w:line="276" w:lineRule="auto"/>
              <w:ind w:left="0" w:firstLine="0"/>
              <w:rPr>
                <w:color w:val="000000"/>
              </w:rPr>
            </w:pPr>
          </w:p>
        </w:tc>
      </w:tr>
      <w:tr w:rsidR="00EA4471" w14:paraId="27A397AF" w14:textId="77777777" w:rsidTr="00EA4471">
        <w:tc>
          <w:tcPr>
            <w:tcW w:w="633" w:type="dxa"/>
            <w:tcBorders>
              <w:top w:val="single" w:sz="4" w:space="0" w:color="000000"/>
              <w:left w:val="single" w:sz="4" w:space="0" w:color="000000"/>
              <w:bottom w:val="single" w:sz="4" w:space="0" w:color="000000"/>
              <w:right w:val="single" w:sz="4" w:space="0" w:color="000000"/>
            </w:tcBorders>
            <w:hideMark/>
          </w:tcPr>
          <w:p w14:paraId="70AE35F5" w14:textId="77777777" w:rsidR="00EA4471" w:rsidRDefault="00EA4471">
            <w:pPr>
              <w:pStyle w:val="BodyTextIndent3"/>
              <w:spacing w:line="276" w:lineRule="auto"/>
              <w:ind w:left="0" w:firstLine="0"/>
              <w:rPr>
                <w:color w:val="000000"/>
              </w:rPr>
            </w:pPr>
            <w:r>
              <w:rPr>
                <w:color w:val="000000"/>
              </w:rPr>
              <w:t>3</w:t>
            </w:r>
          </w:p>
        </w:tc>
        <w:tc>
          <w:tcPr>
            <w:tcW w:w="7467" w:type="dxa"/>
            <w:tcBorders>
              <w:top w:val="single" w:sz="4" w:space="0" w:color="000000"/>
              <w:left w:val="single" w:sz="4" w:space="0" w:color="000000"/>
              <w:bottom w:val="single" w:sz="4" w:space="0" w:color="000000"/>
              <w:right w:val="single" w:sz="4" w:space="0" w:color="000000"/>
            </w:tcBorders>
            <w:hideMark/>
          </w:tcPr>
          <w:p w14:paraId="6658E8FE" w14:textId="77777777" w:rsidR="00EA4471" w:rsidRDefault="00EA4471">
            <w:pPr>
              <w:pStyle w:val="BodyTextIndent3"/>
              <w:spacing w:line="276" w:lineRule="auto"/>
              <w:ind w:left="0" w:firstLine="0"/>
              <w:rPr>
                <w:color w:val="000000"/>
              </w:rPr>
            </w:pPr>
            <w:r>
              <w:rPr>
                <w:color w:val="000000"/>
              </w:rPr>
              <w:t xml:space="preserve">Name of Pipeline </w:t>
            </w:r>
          </w:p>
        </w:tc>
        <w:tc>
          <w:tcPr>
            <w:tcW w:w="896" w:type="dxa"/>
            <w:tcBorders>
              <w:top w:val="single" w:sz="4" w:space="0" w:color="000000"/>
              <w:left w:val="single" w:sz="4" w:space="0" w:color="000000"/>
              <w:bottom w:val="single" w:sz="4" w:space="0" w:color="000000"/>
              <w:right w:val="single" w:sz="4" w:space="0" w:color="000000"/>
            </w:tcBorders>
          </w:tcPr>
          <w:p w14:paraId="7BEF552D" w14:textId="77777777" w:rsidR="00EA4471" w:rsidRDefault="00EA4471">
            <w:pPr>
              <w:pStyle w:val="BodyTextIndent3"/>
              <w:spacing w:line="276" w:lineRule="auto"/>
              <w:ind w:left="0" w:firstLine="0"/>
              <w:rPr>
                <w:color w:val="000000"/>
              </w:rPr>
            </w:pPr>
          </w:p>
        </w:tc>
      </w:tr>
      <w:tr w:rsidR="00EA4471" w14:paraId="10DB967A" w14:textId="77777777" w:rsidTr="00EA4471">
        <w:tc>
          <w:tcPr>
            <w:tcW w:w="633" w:type="dxa"/>
            <w:tcBorders>
              <w:top w:val="single" w:sz="4" w:space="0" w:color="000000"/>
              <w:left w:val="single" w:sz="4" w:space="0" w:color="000000"/>
              <w:bottom w:val="single" w:sz="4" w:space="0" w:color="000000"/>
              <w:right w:val="single" w:sz="4" w:space="0" w:color="000000"/>
            </w:tcBorders>
            <w:hideMark/>
          </w:tcPr>
          <w:p w14:paraId="49FEE3A0" w14:textId="77777777" w:rsidR="00EA4471" w:rsidRDefault="00EA4471">
            <w:pPr>
              <w:pStyle w:val="BodyTextIndent3"/>
              <w:spacing w:line="276" w:lineRule="auto"/>
              <w:ind w:left="0" w:firstLine="0"/>
              <w:rPr>
                <w:color w:val="000000"/>
              </w:rPr>
            </w:pPr>
            <w:r>
              <w:rPr>
                <w:color w:val="000000"/>
              </w:rPr>
              <w:t>4</w:t>
            </w:r>
          </w:p>
        </w:tc>
        <w:tc>
          <w:tcPr>
            <w:tcW w:w="7467" w:type="dxa"/>
            <w:tcBorders>
              <w:top w:val="single" w:sz="4" w:space="0" w:color="000000"/>
              <w:left w:val="single" w:sz="4" w:space="0" w:color="000000"/>
              <w:bottom w:val="single" w:sz="4" w:space="0" w:color="000000"/>
              <w:right w:val="single" w:sz="4" w:space="0" w:color="000000"/>
            </w:tcBorders>
            <w:hideMark/>
          </w:tcPr>
          <w:p w14:paraId="526F3CCD" w14:textId="77777777" w:rsidR="00EA4471" w:rsidRDefault="00EA4471">
            <w:pPr>
              <w:pStyle w:val="BodyTextIndent3"/>
              <w:spacing w:line="276" w:lineRule="auto"/>
              <w:ind w:left="0" w:firstLine="0"/>
              <w:rPr>
                <w:color w:val="000000"/>
              </w:rPr>
            </w:pPr>
            <w:r>
              <w:rPr>
                <w:color w:val="000000"/>
              </w:rPr>
              <w:t>Details of injection/entry point and delivery/exit points and sections on the pipeline</w:t>
            </w:r>
          </w:p>
        </w:tc>
        <w:tc>
          <w:tcPr>
            <w:tcW w:w="896" w:type="dxa"/>
            <w:tcBorders>
              <w:top w:val="single" w:sz="4" w:space="0" w:color="000000"/>
              <w:left w:val="single" w:sz="4" w:space="0" w:color="000000"/>
              <w:bottom w:val="single" w:sz="4" w:space="0" w:color="000000"/>
              <w:right w:val="single" w:sz="4" w:space="0" w:color="000000"/>
            </w:tcBorders>
          </w:tcPr>
          <w:p w14:paraId="107C6FD9" w14:textId="77777777" w:rsidR="00EA4471" w:rsidRDefault="00EA4471">
            <w:pPr>
              <w:pStyle w:val="BodyTextIndent3"/>
              <w:spacing w:line="276" w:lineRule="auto"/>
              <w:ind w:left="0" w:firstLine="0"/>
              <w:rPr>
                <w:color w:val="000000"/>
              </w:rPr>
            </w:pPr>
          </w:p>
        </w:tc>
      </w:tr>
      <w:tr w:rsidR="00EA4471" w14:paraId="0D9B2D2D" w14:textId="77777777" w:rsidTr="00EA4471">
        <w:tc>
          <w:tcPr>
            <w:tcW w:w="633" w:type="dxa"/>
            <w:tcBorders>
              <w:top w:val="single" w:sz="4" w:space="0" w:color="000000"/>
              <w:left w:val="single" w:sz="4" w:space="0" w:color="000000"/>
              <w:bottom w:val="single" w:sz="4" w:space="0" w:color="000000"/>
              <w:right w:val="single" w:sz="4" w:space="0" w:color="000000"/>
            </w:tcBorders>
            <w:hideMark/>
          </w:tcPr>
          <w:p w14:paraId="5328741A" w14:textId="77777777" w:rsidR="00EA4471" w:rsidRDefault="00EA4471">
            <w:pPr>
              <w:pStyle w:val="BodyTextIndent3"/>
              <w:spacing w:line="276" w:lineRule="auto"/>
              <w:ind w:left="0" w:firstLine="0"/>
              <w:rPr>
                <w:color w:val="000000"/>
              </w:rPr>
            </w:pPr>
            <w:r>
              <w:rPr>
                <w:color w:val="000000"/>
              </w:rPr>
              <w:t>5</w:t>
            </w:r>
          </w:p>
        </w:tc>
        <w:tc>
          <w:tcPr>
            <w:tcW w:w="7467" w:type="dxa"/>
            <w:tcBorders>
              <w:top w:val="single" w:sz="4" w:space="0" w:color="000000"/>
              <w:left w:val="single" w:sz="4" w:space="0" w:color="000000"/>
              <w:bottom w:val="single" w:sz="4" w:space="0" w:color="000000"/>
              <w:right w:val="single" w:sz="4" w:space="0" w:color="000000"/>
            </w:tcBorders>
            <w:hideMark/>
          </w:tcPr>
          <w:p w14:paraId="51FAE29C" w14:textId="77777777" w:rsidR="00EA4471" w:rsidRDefault="00EA4471">
            <w:pPr>
              <w:pStyle w:val="BodyTextIndent3"/>
              <w:spacing w:line="276" w:lineRule="auto"/>
              <w:ind w:left="0" w:firstLine="0"/>
              <w:rPr>
                <w:color w:val="000000"/>
              </w:rPr>
            </w:pPr>
            <w:r>
              <w:rPr>
                <w:color w:val="000000"/>
              </w:rPr>
              <w:t>Name of the software package used by the entity</w:t>
            </w:r>
          </w:p>
        </w:tc>
        <w:tc>
          <w:tcPr>
            <w:tcW w:w="896" w:type="dxa"/>
            <w:tcBorders>
              <w:top w:val="single" w:sz="4" w:space="0" w:color="000000"/>
              <w:left w:val="single" w:sz="4" w:space="0" w:color="000000"/>
              <w:bottom w:val="single" w:sz="4" w:space="0" w:color="000000"/>
              <w:right w:val="single" w:sz="4" w:space="0" w:color="000000"/>
            </w:tcBorders>
          </w:tcPr>
          <w:p w14:paraId="20D45A5C" w14:textId="77777777" w:rsidR="00EA4471" w:rsidRDefault="00EA4471">
            <w:pPr>
              <w:pStyle w:val="BodyTextIndent3"/>
              <w:spacing w:line="276" w:lineRule="auto"/>
              <w:ind w:left="0" w:firstLine="0"/>
              <w:rPr>
                <w:color w:val="000000"/>
              </w:rPr>
            </w:pPr>
          </w:p>
        </w:tc>
      </w:tr>
      <w:tr w:rsidR="00EA4471" w14:paraId="7330C8FB" w14:textId="77777777" w:rsidTr="00EA4471">
        <w:tc>
          <w:tcPr>
            <w:tcW w:w="633" w:type="dxa"/>
            <w:tcBorders>
              <w:top w:val="single" w:sz="4" w:space="0" w:color="000000"/>
              <w:left w:val="single" w:sz="4" w:space="0" w:color="000000"/>
              <w:bottom w:val="single" w:sz="4" w:space="0" w:color="000000"/>
              <w:right w:val="single" w:sz="4" w:space="0" w:color="000000"/>
            </w:tcBorders>
            <w:hideMark/>
          </w:tcPr>
          <w:p w14:paraId="1520E234" w14:textId="77777777" w:rsidR="00EA4471" w:rsidRDefault="00EA4471">
            <w:pPr>
              <w:pStyle w:val="BodyTextIndent3"/>
              <w:spacing w:line="276" w:lineRule="auto"/>
              <w:ind w:left="0" w:firstLine="0"/>
              <w:rPr>
                <w:color w:val="000000"/>
              </w:rPr>
            </w:pPr>
            <w:r>
              <w:rPr>
                <w:color w:val="000000"/>
              </w:rPr>
              <w:t>6</w:t>
            </w:r>
          </w:p>
        </w:tc>
        <w:tc>
          <w:tcPr>
            <w:tcW w:w="7467" w:type="dxa"/>
            <w:tcBorders>
              <w:top w:val="single" w:sz="4" w:space="0" w:color="000000"/>
              <w:left w:val="single" w:sz="4" w:space="0" w:color="000000"/>
              <w:bottom w:val="single" w:sz="4" w:space="0" w:color="000000"/>
              <w:right w:val="single" w:sz="4" w:space="0" w:color="000000"/>
            </w:tcBorders>
            <w:hideMark/>
          </w:tcPr>
          <w:p w14:paraId="2992A9FA" w14:textId="77777777" w:rsidR="00EA4471" w:rsidRDefault="00EA4471">
            <w:pPr>
              <w:pStyle w:val="BodyTextIndent3"/>
              <w:spacing w:line="276" w:lineRule="auto"/>
              <w:ind w:left="0" w:firstLine="0"/>
              <w:rPr>
                <w:color w:val="000000"/>
              </w:rPr>
            </w:pPr>
            <w:r>
              <w:rPr>
                <w:color w:val="000000"/>
              </w:rPr>
              <w:t>Flow equation used for the purpose</w:t>
            </w:r>
          </w:p>
        </w:tc>
        <w:tc>
          <w:tcPr>
            <w:tcW w:w="896" w:type="dxa"/>
            <w:tcBorders>
              <w:top w:val="single" w:sz="4" w:space="0" w:color="000000"/>
              <w:left w:val="single" w:sz="4" w:space="0" w:color="000000"/>
              <w:bottom w:val="single" w:sz="4" w:space="0" w:color="000000"/>
              <w:right w:val="single" w:sz="4" w:space="0" w:color="000000"/>
            </w:tcBorders>
          </w:tcPr>
          <w:p w14:paraId="7A8FA16D" w14:textId="77777777" w:rsidR="00EA4471" w:rsidRDefault="00EA4471">
            <w:pPr>
              <w:pStyle w:val="BodyTextIndent3"/>
              <w:spacing w:line="276" w:lineRule="auto"/>
              <w:ind w:left="0" w:firstLine="0"/>
              <w:rPr>
                <w:color w:val="000000"/>
              </w:rPr>
            </w:pPr>
          </w:p>
        </w:tc>
      </w:tr>
      <w:tr w:rsidR="00EA4471" w14:paraId="5219179D" w14:textId="77777777" w:rsidTr="00EA4471">
        <w:tc>
          <w:tcPr>
            <w:tcW w:w="633" w:type="dxa"/>
            <w:tcBorders>
              <w:top w:val="single" w:sz="4" w:space="0" w:color="000000"/>
              <w:left w:val="single" w:sz="4" w:space="0" w:color="000000"/>
              <w:bottom w:val="single" w:sz="4" w:space="0" w:color="000000"/>
              <w:right w:val="single" w:sz="4" w:space="0" w:color="000000"/>
            </w:tcBorders>
            <w:hideMark/>
          </w:tcPr>
          <w:p w14:paraId="319B4516" w14:textId="77777777" w:rsidR="00EA4471" w:rsidRDefault="00EA4471">
            <w:pPr>
              <w:pStyle w:val="BodyTextIndent3"/>
              <w:spacing w:line="276" w:lineRule="auto"/>
              <w:ind w:left="0" w:firstLine="0"/>
              <w:rPr>
                <w:color w:val="000000"/>
              </w:rPr>
            </w:pPr>
            <w:r>
              <w:rPr>
                <w:color w:val="000000"/>
              </w:rPr>
              <w:t>7</w:t>
            </w:r>
          </w:p>
        </w:tc>
        <w:tc>
          <w:tcPr>
            <w:tcW w:w="7467" w:type="dxa"/>
            <w:tcBorders>
              <w:top w:val="single" w:sz="4" w:space="0" w:color="000000"/>
              <w:left w:val="single" w:sz="4" w:space="0" w:color="000000"/>
              <w:bottom w:val="single" w:sz="4" w:space="0" w:color="000000"/>
              <w:right w:val="single" w:sz="4" w:space="0" w:color="000000"/>
            </w:tcBorders>
            <w:hideMark/>
          </w:tcPr>
          <w:p w14:paraId="2CB6393B" w14:textId="77777777" w:rsidR="00EA4471" w:rsidRDefault="00EA4471">
            <w:pPr>
              <w:pStyle w:val="BodyTextIndent3"/>
              <w:spacing w:line="276" w:lineRule="auto"/>
              <w:ind w:left="0" w:firstLine="0"/>
              <w:rPr>
                <w:color w:val="000000"/>
              </w:rPr>
            </w:pPr>
            <w:r>
              <w:rPr>
                <w:color w:val="000000"/>
              </w:rPr>
              <w:t>Product Quality specifications/gas Parameters considered for the purpose of capacity determination</w:t>
            </w:r>
          </w:p>
        </w:tc>
        <w:tc>
          <w:tcPr>
            <w:tcW w:w="896" w:type="dxa"/>
            <w:tcBorders>
              <w:top w:val="single" w:sz="4" w:space="0" w:color="000000"/>
              <w:left w:val="single" w:sz="4" w:space="0" w:color="000000"/>
              <w:bottom w:val="single" w:sz="4" w:space="0" w:color="000000"/>
              <w:right w:val="single" w:sz="4" w:space="0" w:color="000000"/>
            </w:tcBorders>
          </w:tcPr>
          <w:p w14:paraId="65BE56E9" w14:textId="77777777" w:rsidR="00EA4471" w:rsidRDefault="00EA4471">
            <w:pPr>
              <w:pStyle w:val="BodyTextIndent3"/>
              <w:spacing w:line="276" w:lineRule="auto"/>
              <w:ind w:left="0" w:firstLine="0"/>
              <w:rPr>
                <w:color w:val="000000"/>
              </w:rPr>
            </w:pPr>
          </w:p>
        </w:tc>
      </w:tr>
      <w:tr w:rsidR="00EA4471" w14:paraId="316C77FE" w14:textId="77777777" w:rsidTr="00EA4471">
        <w:tc>
          <w:tcPr>
            <w:tcW w:w="633" w:type="dxa"/>
            <w:tcBorders>
              <w:top w:val="single" w:sz="4" w:space="0" w:color="000000"/>
              <w:left w:val="single" w:sz="4" w:space="0" w:color="000000"/>
              <w:bottom w:val="single" w:sz="4" w:space="0" w:color="000000"/>
              <w:right w:val="single" w:sz="4" w:space="0" w:color="000000"/>
            </w:tcBorders>
            <w:hideMark/>
          </w:tcPr>
          <w:p w14:paraId="27ABBC40" w14:textId="77777777" w:rsidR="00EA4471" w:rsidRDefault="00EA4471">
            <w:pPr>
              <w:pStyle w:val="BodyTextIndent3"/>
              <w:spacing w:line="276" w:lineRule="auto"/>
              <w:ind w:left="0" w:firstLine="0"/>
              <w:rPr>
                <w:color w:val="000000"/>
              </w:rPr>
            </w:pPr>
            <w:r>
              <w:rPr>
                <w:color w:val="000000"/>
              </w:rPr>
              <w:t>8</w:t>
            </w:r>
          </w:p>
        </w:tc>
        <w:tc>
          <w:tcPr>
            <w:tcW w:w="7467" w:type="dxa"/>
            <w:tcBorders>
              <w:top w:val="single" w:sz="4" w:space="0" w:color="000000"/>
              <w:left w:val="single" w:sz="4" w:space="0" w:color="000000"/>
              <w:bottom w:val="single" w:sz="4" w:space="0" w:color="000000"/>
              <w:right w:val="single" w:sz="4" w:space="0" w:color="000000"/>
            </w:tcBorders>
            <w:hideMark/>
          </w:tcPr>
          <w:p w14:paraId="0261B167" w14:textId="77777777" w:rsidR="00EA4471" w:rsidRDefault="00EA4471">
            <w:pPr>
              <w:pStyle w:val="BodyTextIndent3"/>
              <w:spacing w:line="276" w:lineRule="auto"/>
              <w:ind w:left="0" w:firstLine="0"/>
              <w:rPr>
                <w:color w:val="000000"/>
              </w:rPr>
            </w:pPr>
            <w:r>
              <w:rPr>
                <w:color w:val="000000"/>
              </w:rPr>
              <w:t>Maximum achievable capacity of the pipeline under steady state conditions</w:t>
            </w:r>
          </w:p>
        </w:tc>
        <w:tc>
          <w:tcPr>
            <w:tcW w:w="896" w:type="dxa"/>
            <w:tcBorders>
              <w:top w:val="single" w:sz="4" w:space="0" w:color="000000"/>
              <w:left w:val="single" w:sz="4" w:space="0" w:color="000000"/>
              <w:bottom w:val="single" w:sz="4" w:space="0" w:color="000000"/>
              <w:right w:val="single" w:sz="4" w:space="0" w:color="000000"/>
            </w:tcBorders>
          </w:tcPr>
          <w:p w14:paraId="78DF8133" w14:textId="77777777" w:rsidR="00EA4471" w:rsidRDefault="00EA4471">
            <w:pPr>
              <w:pStyle w:val="BodyTextIndent3"/>
              <w:spacing w:line="276" w:lineRule="auto"/>
              <w:ind w:left="0" w:firstLine="0"/>
              <w:rPr>
                <w:color w:val="000000"/>
              </w:rPr>
            </w:pPr>
          </w:p>
        </w:tc>
      </w:tr>
      <w:tr w:rsidR="00EA4471" w14:paraId="55D345A5" w14:textId="77777777" w:rsidTr="00EA4471">
        <w:tc>
          <w:tcPr>
            <w:tcW w:w="633" w:type="dxa"/>
            <w:tcBorders>
              <w:top w:val="single" w:sz="4" w:space="0" w:color="000000"/>
              <w:left w:val="single" w:sz="4" w:space="0" w:color="000000"/>
              <w:bottom w:val="single" w:sz="4" w:space="0" w:color="000000"/>
              <w:right w:val="single" w:sz="4" w:space="0" w:color="000000"/>
            </w:tcBorders>
            <w:hideMark/>
          </w:tcPr>
          <w:p w14:paraId="29441C6C" w14:textId="77777777" w:rsidR="00EA4471" w:rsidRDefault="00EA4471">
            <w:pPr>
              <w:pStyle w:val="BodyTextIndent3"/>
              <w:spacing w:line="276" w:lineRule="auto"/>
              <w:ind w:left="0" w:firstLine="0"/>
              <w:rPr>
                <w:color w:val="000000"/>
              </w:rPr>
            </w:pPr>
            <w:r>
              <w:rPr>
                <w:color w:val="000000"/>
              </w:rPr>
              <w:t>9</w:t>
            </w:r>
          </w:p>
        </w:tc>
        <w:tc>
          <w:tcPr>
            <w:tcW w:w="7467" w:type="dxa"/>
            <w:tcBorders>
              <w:top w:val="single" w:sz="4" w:space="0" w:color="000000"/>
              <w:left w:val="single" w:sz="4" w:space="0" w:color="000000"/>
              <w:bottom w:val="single" w:sz="4" w:space="0" w:color="000000"/>
              <w:right w:val="single" w:sz="4" w:space="0" w:color="000000"/>
            </w:tcBorders>
            <w:hideMark/>
          </w:tcPr>
          <w:p w14:paraId="35032A36" w14:textId="77777777" w:rsidR="00EA4471" w:rsidRDefault="00EA4471">
            <w:pPr>
              <w:pStyle w:val="BodyTextIndent3"/>
              <w:spacing w:line="276" w:lineRule="auto"/>
              <w:ind w:left="0" w:firstLine="0"/>
              <w:rPr>
                <w:color w:val="000000"/>
              </w:rPr>
            </w:pPr>
            <w:r>
              <w:rPr>
                <w:color w:val="000000"/>
              </w:rPr>
              <w:t>Section wise maximum achievable capacity of the pipeline</w:t>
            </w:r>
          </w:p>
        </w:tc>
        <w:tc>
          <w:tcPr>
            <w:tcW w:w="896" w:type="dxa"/>
            <w:tcBorders>
              <w:top w:val="single" w:sz="4" w:space="0" w:color="000000"/>
              <w:left w:val="single" w:sz="4" w:space="0" w:color="000000"/>
              <w:bottom w:val="single" w:sz="4" w:space="0" w:color="000000"/>
              <w:right w:val="single" w:sz="4" w:space="0" w:color="000000"/>
            </w:tcBorders>
          </w:tcPr>
          <w:p w14:paraId="55771E53" w14:textId="77777777" w:rsidR="00EA4471" w:rsidRDefault="00EA4471">
            <w:pPr>
              <w:pStyle w:val="BodyTextIndent3"/>
              <w:spacing w:line="276" w:lineRule="auto"/>
              <w:ind w:left="0" w:firstLine="0"/>
              <w:jc w:val="center"/>
              <w:rPr>
                <w:color w:val="000000"/>
              </w:rPr>
            </w:pPr>
          </w:p>
        </w:tc>
      </w:tr>
    </w:tbl>
    <w:p w14:paraId="2523AF92" w14:textId="77777777" w:rsidR="00EA4471" w:rsidRDefault="00EA4471" w:rsidP="00EA4471">
      <w:pPr>
        <w:spacing w:after="200" w:line="276" w:lineRule="auto"/>
        <w:rPr>
          <w:color w:val="000000"/>
        </w:rPr>
      </w:pPr>
    </w:p>
    <w:p w14:paraId="50087960" w14:textId="77777777" w:rsidR="00B038D1" w:rsidRDefault="00B038D1" w:rsidP="00B038D1">
      <w:pPr>
        <w:jc w:val="right"/>
        <w:rPr>
          <w:color w:val="000000"/>
        </w:rPr>
      </w:pPr>
    </w:p>
    <w:p w14:paraId="5E474745" w14:textId="77777777" w:rsidR="00B038D1" w:rsidRDefault="00B038D1" w:rsidP="00B038D1">
      <w:pPr>
        <w:jc w:val="right"/>
        <w:rPr>
          <w:color w:val="000000"/>
        </w:rPr>
      </w:pPr>
    </w:p>
    <w:p w14:paraId="0239F2A7" w14:textId="702533F6" w:rsidR="00B038D1" w:rsidRPr="002B0BC2" w:rsidRDefault="00B038D1" w:rsidP="00B038D1">
      <w:pPr>
        <w:jc w:val="right"/>
        <w:rPr>
          <w:color w:val="000000"/>
        </w:rPr>
      </w:pPr>
      <w:r w:rsidRPr="002B0BC2">
        <w:rPr>
          <w:color w:val="000000"/>
        </w:rPr>
        <w:t>Secretary</w:t>
      </w:r>
    </w:p>
    <w:p w14:paraId="041EA3FF" w14:textId="77777777" w:rsidR="00B038D1" w:rsidRDefault="00B038D1" w:rsidP="00B038D1">
      <w:pPr>
        <w:jc w:val="right"/>
        <w:rPr>
          <w:color w:val="000000"/>
        </w:rPr>
      </w:pPr>
      <w:r w:rsidRPr="002B0BC2">
        <w:rPr>
          <w:color w:val="000000"/>
        </w:rPr>
        <w:t>Petroleum and Natural Gas Regulatory Board</w:t>
      </w:r>
    </w:p>
    <w:p w14:paraId="26863160" w14:textId="77777777" w:rsidR="00B038D1" w:rsidRDefault="00B038D1" w:rsidP="00B038D1">
      <w:pPr>
        <w:jc w:val="right"/>
        <w:rPr>
          <w:color w:val="000000"/>
        </w:rPr>
      </w:pPr>
    </w:p>
    <w:p w14:paraId="05210224" w14:textId="77777777" w:rsidR="00B038D1" w:rsidRDefault="00B038D1" w:rsidP="00B038D1">
      <w:pPr>
        <w:jc w:val="right"/>
        <w:rPr>
          <w:color w:val="000000"/>
        </w:rPr>
      </w:pPr>
      <w:r>
        <w:rPr>
          <w:color w:val="000000"/>
        </w:rPr>
        <w:t>[F. No. S-</w:t>
      </w:r>
      <w:proofErr w:type="spellStart"/>
      <w:r>
        <w:rPr>
          <w:color w:val="000000"/>
        </w:rPr>
        <w:t>Admn</w:t>
      </w:r>
      <w:proofErr w:type="spellEnd"/>
      <w:r>
        <w:rPr>
          <w:color w:val="000000"/>
        </w:rPr>
        <w:t>/II/8/2010]</w:t>
      </w:r>
    </w:p>
    <w:p w14:paraId="5E5BD43D" w14:textId="77777777" w:rsidR="00B038D1" w:rsidRPr="002B0BC2" w:rsidRDefault="00B038D1" w:rsidP="00B038D1">
      <w:pPr>
        <w:jc w:val="right"/>
        <w:rPr>
          <w:color w:val="000000"/>
        </w:rPr>
      </w:pPr>
      <w:r>
        <w:rPr>
          <w:color w:val="000000"/>
        </w:rPr>
        <w:t>RATAN P. WATAL, Secy.</w:t>
      </w:r>
    </w:p>
    <w:p w14:paraId="4A0A24FE" w14:textId="77777777" w:rsidR="00B038D1" w:rsidRDefault="00B038D1" w:rsidP="00B038D1">
      <w:pPr>
        <w:spacing w:after="200" w:line="276" w:lineRule="auto"/>
        <w:ind w:left="851" w:hanging="1135"/>
        <w:jc w:val="both"/>
        <w:rPr>
          <w:b/>
          <w:bCs/>
          <w:color w:val="000000"/>
        </w:rPr>
      </w:pPr>
    </w:p>
    <w:p w14:paraId="4B63A91A" w14:textId="091E311B" w:rsidR="00B038D1" w:rsidRPr="007B29CA" w:rsidRDefault="007B29CA" w:rsidP="00B038D1">
      <w:pPr>
        <w:spacing w:after="200" w:line="276" w:lineRule="auto"/>
        <w:ind w:left="851" w:hanging="1135"/>
        <w:jc w:val="both"/>
        <w:rPr>
          <w:color w:val="000000"/>
        </w:rPr>
      </w:pPr>
      <w:r w:rsidRPr="00B038D1">
        <w:rPr>
          <w:b/>
          <w:bCs/>
          <w:color w:val="000000"/>
        </w:rPr>
        <w:t>Foot Note:</w:t>
      </w:r>
      <w:r>
        <w:rPr>
          <w:color w:val="000000"/>
        </w:rPr>
        <w:t xml:space="preserve"> Principal regulations were notified </w:t>
      </w:r>
      <w:r w:rsidRPr="007B29CA">
        <w:rPr>
          <w:i/>
          <w:iCs/>
          <w:color w:val="000000"/>
        </w:rPr>
        <w:t>vide</w:t>
      </w:r>
      <w:r>
        <w:rPr>
          <w:i/>
          <w:iCs/>
          <w:color w:val="000000"/>
        </w:rPr>
        <w:t xml:space="preserve"> </w:t>
      </w:r>
      <w:r>
        <w:rPr>
          <w:color w:val="000000"/>
        </w:rPr>
        <w:t>G.S.R. 476(E) dated 07/06/2010</w:t>
      </w:r>
      <w:r w:rsidR="00B038D1">
        <w:rPr>
          <w:color w:val="000000"/>
        </w:rPr>
        <w:t xml:space="preserve"> and amended vide </w:t>
      </w:r>
      <w:r w:rsidR="00B038D1" w:rsidRPr="00B038D1">
        <w:rPr>
          <w:color w:val="000000"/>
        </w:rPr>
        <w:t>F. No. L-MISC/VI/I/2007</w:t>
      </w:r>
      <w:r w:rsidR="00B038D1">
        <w:rPr>
          <w:color w:val="000000"/>
        </w:rPr>
        <w:t xml:space="preserve"> dated 01.01.2015</w:t>
      </w:r>
      <w:r w:rsidR="00DF4566">
        <w:rPr>
          <w:color w:val="000000"/>
        </w:rPr>
        <w:t xml:space="preserve"> and </w:t>
      </w:r>
      <w:r w:rsidR="00DF4566">
        <w:t>F. No. PNGRB/Tech/10-Cap/NGPL&amp;PPPL/(2)/2022(P-3745)</w:t>
      </w:r>
      <w:r w:rsidR="00DF4566">
        <w:rPr>
          <w:color w:val="000000"/>
        </w:rPr>
        <w:t xml:space="preserve"> dated 18</w:t>
      </w:r>
      <w:r w:rsidR="00DF4566" w:rsidRPr="00C413C9">
        <w:rPr>
          <w:color w:val="000000"/>
          <w:vertAlign w:val="superscript"/>
        </w:rPr>
        <w:t>th</w:t>
      </w:r>
      <w:r w:rsidR="00DF4566">
        <w:rPr>
          <w:color w:val="000000"/>
        </w:rPr>
        <w:t xml:space="preserve"> November, 2022.</w:t>
      </w:r>
    </w:p>
    <w:sectPr w:rsidR="00B038D1" w:rsidRPr="007B29CA">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C2CA89" w14:textId="77777777" w:rsidR="00CA7E5D" w:rsidRDefault="00CA7E5D" w:rsidP="00EA4471">
      <w:r>
        <w:separator/>
      </w:r>
    </w:p>
  </w:endnote>
  <w:endnote w:type="continuationSeparator" w:id="0">
    <w:p w14:paraId="3551D494" w14:textId="77777777" w:rsidR="00CA7E5D" w:rsidRDefault="00CA7E5D" w:rsidP="00EA44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altName w:val="Courier New"/>
    <w:panose1 w:val="00000400000000000000"/>
    <w:charset w:val="01"/>
    <w:family w:val="roman"/>
    <w:pitch w:val="variable"/>
    <w:sig w:usb0="00002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57926355"/>
      <w:docPartObj>
        <w:docPartGallery w:val="Page Numbers (Bottom of Page)"/>
        <w:docPartUnique/>
      </w:docPartObj>
    </w:sdtPr>
    <w:sdtEndPr>
      <w:rPr>
        <w:noProof/>
      </w:rPr>
    </w:sdtEndPr>
    <w:sdtContent>
      <w:p w14:paraId="787A1BAD" w14:textId="758DA8E9" w:rsidR="00EA4471" w:rsidRDefault="00EA4471">
        <w:pPr>
          <w:pStyle w:val="Footer"/>
          <w:jc w:val="right"/>
        </w:pPr>
        <w:r>
          <w:fldChar w:fldCharType="begin"/>
        </w:r>
        <w:r>
          <w:instrText xml:space="preserve"> PAGE   \* MERGEFORMAT </w:instrText>
        </w:r>
        <w:r>
          <w:fldChar w:fldCharType="separate"/>
        </w:r>
        <w:r w:rsidR="00C413C9">
          <w:rPr>
            <w:noProof/>
          </w:rPr>
          <w:t>17</w:t>
        </w:r>
        <w:r>
          <w:rPr>
            <w:noProof/>
          </w:rPr>
          <w:fldChar w:fldCharType="end"/>
        </w:r>
      </w:p>
    </w:sdtContent>
  </w:sdt>
  <w:p w14:paraId="4B75AB4D" w14:textId="77777777" w:rsidR="00EA4471" w:rsidRDefault="00EA447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81BE2F" w14:textId="77777777" w:rsidR="00CA7E5D" w:rsidRDefault="00CA7E5D" w:rsidP="00EA4471">
      <w:r>
        <w:separator/>
      </w:r>
    </w:p>
  </w:footnote>
  <w:footnote w:type="continuationSeparator" w:id="0">
    <w:p w14:paraId="27C5F0FC" w14:textId="77777777" w:rsidR="00CA7E5D" w:rsidRDefault="00CA7E5D" w:rsidP="00EA4471">
      <w:r>
        <w:continuationSeparator/>
      </w:r>
    </w:p>
  </w:footnote>
  <w:footnote w:id="1">
    <w:p w14:paraId="1B9AFA7E" w14:textId="37C7A24D" w:rsidR="006E3007" w:rsidRPr="00EA4471" w:rsidRDefault="006E3007" w:rsidP="006E3007">
      <w:pPr>
        <w:pStyle w:val="FootnoteText"/>
        <w:jc w:val="both"/>
        <w:rPr>
          <w:lang w:val="en-IN"/>
        </w:rPr>
      </w:pPr>
      <w:r>
        <w:rPr>
          <w:rStyle w:val="FootnoteReference"/>
        </w:rPr>
        <w:footnoteRef/>
      </w:r>
      <w:r>
        <w:t xml:space="preserve"> </w:t>
      </w:r>
      <w:r>
        <w:rPr>
          <w:lang w:val="en-IN"/>
        </w:rPr>
        <w:t xml:space="preserve">Subs. </w:t>
      </w:r>
      <w:r w:rsidR="00FC2EFA">
        <w:rPr>
          <w:lang w:val="en-IN"/>
        </w:rPr>
        <w:t>b</w:t>
      </w:r>
      <w:r>
        <w:rPr>
          <w:lang w:val="en-IN"/>
        </w:rPr>
        <w:t>y Cl. (</w:t>
      </w:r>
      <w:proofErr w:type="spellStart"/>
      <w:r>
        <w:rPr>
          <w:lang w:val="en-IN"/>
        </w:rPr>
        <w:t>i</w:t>
      </w:r>
      <w:proofErr w:type="spellEnd"/>
      <w:r>
        <w:rPr>
          <w:lang w:val="en-IN"/>
        </w:rPr>
        <w:t xml:space="preserve">) of </w:t>
      </w:r>
      <w:r w:rsidR="00FC2EFA">
        <w:rPr>
          <w:lang w:val="en-IN"/>
        </w:rPr>
        <w:t>R</w:t>
      </w:r>
      <w:r>
        <w:rPr>
          <w:lang w:val="en-IN"/>
        </w:rPr>
        <w:t>eg.2, the Petroleum and Natural Gas Regulatory Board (Determining Capacity of Petroleum, Petroleum Products and Natural Gas Pipeline) Amendment Regulation, 2022, (</w:t>
      </w:r>
      <w:proofErr w:type="spellStart"/>
      <w:r>
        <w:rPr>
          <w:lang w:val="en-IN"/>
        </w:rPr>
        <w:t>w.e.f</w:t>
      </w:r>
      <w:proofErr w:type="spellEnd"/>
      <w:r>
        <w:rPr>
          <w:lang w:val="en-IN"/>
        </w:rPr>
        <w:t>. 18.11.2022).</w:t>
      </w:r>
    </w:p>
    <w:p w14:paraId="4BDD30AB" w14:textId="5953AA06" w:rsidR="006E3007" w:rsidRPr="00C413C9" w:rsidRDefault="006E3007">
      <w:pPr>
        <w:pStyle w:val="FootnoteText"/>
        <w:rPr>
          <w:lang w:val="en-IN"/>
        </w:rPr>
      </w:pPr>
    </w:p>
  </w:footnote>
  <w:footnote w:id="2">
    <w:p w14:paraId="23229D87" w14:textId="1EB5F754" w:rsidR="00FC2EFA" w:rsidRPr="00C413C9" w:rsidRDefault="00FC2EFA" w:rsidP="00C413C9">
      <w:pPr>
        <w:pStyle w:val="FootnoteText"/>
        <w:jc w:val="both"/>
        <w:rPr>
          <w:lang w:val="en-IN"/>
        </w:rPr>
      </w:pPr>
      <w:r>
        <w:rPr>
          <w:rStyle w:val="FootnoteReference"/>
        </w:rPr>
        <w:footnoteRef/>
      </w:r>
      <w:r>
        <w:t xml:space="preserve"> </w:t>
      </w:r>
      <w:r>
        <w:rPr>
          <w:lang w:val="en-IN"/>
        </w:rPr>
        <w:t>Ins. by Sub. Cl. (a) of Cl. (ii) of Reg.2, the Petroleum and Natural Gas Regulatory Board (Determining Capacity of Petroleum, Petroleum Products and Natural Gas Pipeline) Amendment Regulation, 2022, (</w:t>
      </w:r>
      <w:proofErr w:type="spellStart"/>
      <w:r>
        <w:rPr>
          <w:lang w:val="en-IN"/>
        </w:rPr>
        <w:t>w.e.f</w:t>
      </w:r>
      <w:proofErr w:type="spellEnd"/>
      <w:r>
        <w:rPr>
          <w:lang w:val="en-IN"/>
        </w:rPr>
        <w:t>. 18.11.2022).</w:t>
      </w:r>
    </w:p>
  </w:footnote>
  <w:footnote w:id="3">
    <w:p w14:paraId="27106335" w14:textId="5350A77A" w:rsidR="00C413C9" w:rsidRPr="00C413C9" w:rsidRDefault="00C413C9" w:rsidP="00C413C9">
      <w:pPr>
        <w:pStyle w:val="FootnoteText"/>
        <w:jc w:val="both"/>
      </w:pPr>
      <w:r>
        <w:rPr>
          <w:rStyle w:val="FootnoteReference"/>
        </w:rPr>
        <w:footnoteRef/>
      </w:r>
      <w:r>
        <w:t xml:space="preserve"> The words specified sub-clause (2) &amp; (3) are omitted by sub-cl (b) of </w:t>
      </w:r>
      <w:r>
        <w:t>Cl. (i</w:t>
      </w:r>
      <w:r>
        <w:t>i</w:t>
      </w:r>
      <w:r>
        <w:t xml:space="preserve">) of </w:t>
      </w:r>
      <w:r>
        <w:t>R</w:t>
      </w:r>
      <w:r>
        <w:t>eg. (2), the Petroleum and Natural Gas</w:t>
      </w:r>
      <w:r>
        <w:t xml:space="preserve"> </w:t>
      </w:r>
      <w:r>
        <w:t>Regulatory Board (</w:t>
      </w:r>
      <w:proofErr w:type="spellStart"/>
      <w:r>
        <w:t>Authorising</w:t>
      </w:r>
      <w:proofErr w:type="spellEnd"/>
      <w:r>
        <w:t xml:space="preserve"> Entities to Lay, Build, Operate or Expand City or Local Natural Gas Distribution</w:t>
      </w:r>
      <w:r>
        <w:t xml:space="preserve"> </w:t>
      </w:r>
      <w:r>
        <w:t xml:space="preserve">Networks) </w:t>
      </w:r>
      <w:r>
        <w:t>Amendment Regulations, 2022</w:t>
      </w:r>
      <w:r>
        <w:t xml:space="preserve"> (</w:t>
      </w:r>
      <w:proofErr w:type="spellStart"/>
      <w:r>
        <w:t>w.e.f</w:t>
      </w:r>
      <w:proofErr w:type="spellEnd"/>
      <w:r>
        <w:t xml:space="preserve">. </w:t>
      </w:r>
      <w:r>
        <w:t>18.11.2022</w:t>
      </w:r>
      <w:r>
        <w:t>).</w:t>
      </w:r>
    </w:p>
  </w:footnote>
  <w:footnote w:id="4">
    <w:p w14:paraId="492086B9" w14:textId="50E5C710" w:rsidR="00C413C9" w:rsidRPr="00C413C9" w:rsidRDefault="00C413C9" w:rsidP="00C413C9">
      <w:pPr>
        <w:pStyle w:val="FootnoteText"/>
        <w:jc w:val="both"/>
      </w:pPr>
      <w:r>
        <w:rPr>
          <w:rStyle w:val="FootnoteReference"/>
        </w:rPr>
        <w:footnoteRef/>
      </w:r>
      <w:r>
        <w:t xml:space="preserve"> </w:t>
      </w:r>
      <w:r>
        <w:t xml:space="preserve">The words specified </w:t>
      </w:r>
      <w:r>
        <w:t xml:space="preserve">sub-clause </w:t>
      </w:r>
      <w:r>
        <w:t xml:space="preserve">(3) are omitted by </w:t>
      </w:r>
      <w:r>
        <w:t>Supra 3</w:t>
      </w:r>
      <w:r>
        <w:t xml:space="preserve"> (</w:t>
      </w:r>
      <w:proofErr w:type="spellStart"/>
      <w:r>
        <w:t>w.e.f</w:t>
      </w:r>
      <w:proofErr w:type="spellEnd"/>
      <w:r>
        <w:t>. 18.11.2022).</w:t>
      </w:r>
    </w:p>
    <w:p w14:paraId="7958ECBF" w14:textId="26658A11" w:rsidR="00C413C9" w:rsidRPr="00C413C9" w:rsidRDefault="00C413C9">
      <w:pPr>
        <w:pStyle w:val="FootnoteText"/>
        <w:rPr>
          <w:lang w:val="en-IN"/>
        </w:rPr>
      </w:pPr>
    </w:p>
  </w:footnote>
  <w:footnote w:id="5">
    <w:p w14:paraId="1E1A395A" w14:textId="181D78A8" w:rsidR="00885A78" w:rsidRPr="00C413C9" w:rsidRDefault="00885A78" w:rsidP="00C413C9">
      <w:pPr>
        <w:pStyle w:val="FootnoteText"/>
        <w:jc w:val="both"/>
        <w:rPr>
          <w:lang w:val="en-IN"/>
        </w:rPr>
      </w:pPr>
      <w:r>
        <w:rPr>
          <w:rStyle w:val="FootnoteReference"/>
        </w:rPr>
        <w:footnoteRef/>
      </w:r>
      <w:r>
        <w:t xml:space="preserve"> </w:t>
      </w:r>
      <w:r>
        <w:rPr>
          <w:lang w:val="en-IN"/>
        </w:rPr>
        <w:t>Subs. by Sub. Cl. (a) of Cl. (iii) of Reg.2, the Petroleum and Natural Gas Regulatory Board (Determining Capacity of Petroleum, Petroleum Products and Natural Gas Pipeline) Amendment Regulation, 2022, (</w:t>
      </w:r>
      <w:proofErr w:type="spellStart"/>
      <w:r>
        <w:rPr>
          <w:lang w:val="en-IN"/>
        </w:rPr>
        <w:t>w.e.f</w:t>
      </w:r>
      <w:proofErr w:type="spellEnd"/>
      <w:r>
        <w:rPr>
          <w:lang w:val="en-IN"/>
        </w:rPr>
        <w:t>. 18.11.2022).</w:t>
      </w:r>
    </w:p>
  </w:footnote>
  <w:footnote w:id="6">
    <w:p w14:paraId="47D7AFC5" w14:textId="1ACDC1B4" w:rsidR="002F7073" w:rsidRPr="00C413C9" w:rsidRDefault="002F7073" w:rsidP="00C413C9">
      <w:pPr>
        <w:pStyle w:val="FootnoteText"/>
        <w:jc w:val="both"/>
        <w:rPr>
          <w:lang w:val="en-IN"/>
        </w:rPr>
      </w:pPr>
      <w:r>
        <w:rPr>
          <w:rStyle w:val="FootnoteReference"/>
        </w:rPr>
        <w:footnoteRef/>
      </w:r>
      <w:r>
        <w:t xml:space="preserve"> </w:t>
      </w:r>
      <w:r w:rsidR="00C413C9">
        <w:t xml:space="preserve">The words specified are deleted </w:t>
      </w:r>
      <w:r>
        <w:rPr>
          <w:lang w:val="en-IN"/>
        </w:rPr>
        <w:t>by Sub. Cl. (b) of Cl. (iii) of Reg.2, the Petroleum and Natural Gas Regulatory Board (Determining Capacity of Petroleum, Petroleum Products and Natural Gas Pipeline) Amendment Regulation, 2022, (</w:t>
      </w:r>
      <w:proofErr w:type="spellStart"/>
      <w:r>
        <w:rPr>
          <w:lang w:val="en-IN"/>
        </w:rPr>
        <w:t>w.e.f</w:t>
      </w:r>
      <w:proofErr w:type="spellEnd"/>
      <w:r>
        <w:rPr>
          <w:lang w:val="en-IN"/>
        </w:rPr>
        <w:t>. 18.11.2022).</w:t>
      </w:r>
    </w:p>
  </w:footnote>
  <w:footnote w:id="7">
    <w:p w14:paraId="2E6040FE" w14:textId="5BCCA870" w:rsidR="002F7073" w:rsidRPr="0056077F" w:rsidRDefault="002F7073" w:rsidP="00C413C9">
      <w:pPr>
        <w:pStyle w:val="FootnoteText"/>
        <w:jc w:val="both"/>
        <w:rPr>
          <w:lang w:val="en-IN"/>
        </w:rPr>
      </w:pPr>
      <w:r>
        <w:rPr>
          <w:rStyle w:val="FootnoteReference"/>
        </w:rPr>
        <w:footnoteRef/>
      </w:r>
      <w:r>
        <w:t xml:space="preserve"> </w:t>
      </w:r>
      <w:r>
        <w:rPr>
          <w:lang w:val="en-IN"/>
        </w:rPr>
        <w:t>Ins. by Sub. Cl. (c) of Cl. (iii) of Reg.2, the Petroleum and Natural Gas Regulatory Board (Determining Capacity of Petroleum, Petroleum Products and Natural Gas Pipeline) Amendment Regulation, 2022, (</w:t>
      </w:r>
      <w:proofErr w:type="spellStart"/>
      <w:r>
        <w:rPr>
          <w:lang w:val="en-IN"/>
        </w:rPr>
        <w:t>w.e.f</w:t>
      </w:r>
      <w:proofErr w:type="spellEnd"/>
      <w:r>
        <w:rPr>
          <w:lang w:val="en-IN"/>
        </w:rPr>
        <w:t>. 18.11.2022).</w:t>
      </w:r>
    </w:p>
    <w:p w14:paraId="556CF194" w14:textId="7971EF12" w:rsidR="002F7073" w:rsidRPr="00C413C9" w:rsidRDefault="002F7073">
      <w:pPr>
        <w:pStyle w:val="FootnoteText"/>
        <w:rPr>
          <w:lang w:val="en-IN"/>
        </w:rPr>
      </w:pPr>
    </w:p>
  </w:footnote>
  <w:footnote w:id="8">
    <w:p w14:paraId="24AF8952" w14:textId="02E7C7E8" w:rsidR="00B04124" w:rsidRPr="00C413C9" w:rsidRDefault="00B04124" w:rsidP="00C413C9">
      <w:pPr>
        <w:pStyle w:val="FootnoteText"/>
        <w:rPr>
          <w:lang w:val="en-IN"/>
        </w:rPr>
      </w:pPr>
      <w:r>
        <w:rPr>
          <w:rStyle w:val="FootnoteReference"/>
        </w:rPr>
        <w:footnoteRef/>
      </w:r>
      <w:r>
        <w:t xml:space="preserve"> </w:t>
      </w:r>
      <w:r>
        <w:rPr>
          <w:lang w:val="en-IN"/>
        </w:rPr>
        <w:t>Subs. by Sub. Cl. (d) of Cl. (iii) of Reg.2, the Petroleum and Natural Gas Regulatory Board (Determining Capacity of Petroleum, Petroleum Products and Natural Gas Pipeline) Amendment Regulation, 2022, (</w:t>
      </w:r>
      <w:proofErr w:type="spellStart"/>
      <w:r>
        <w:rPr>
          <w:lang w:val="en-IN"/>
        </w:rPr>
        <w:t>w.e.f</w:t>
      </w:r>
      <w:proofErr w:type="spellEnd"/>
      <w:r>
        <w:rPr>
          <w:lang w:val="en-IN"/>
        </w:rPr>
        <w:t>. 18.11.2022).</w:t>
      </w:r>
    </w:p>
  </w:footnote>
  <w:footnote w:id="9">
    <w:p w14:paraId="4A40F451" w14:textId="701BF5B1" w:rsidR="00B04124" w:rsidRPr="00C413C9" w:rsidRDefault="00B04124" w:rsidP="00C413C9">
      <w:pPr>
        <w:pStyle w:val="FootnoteText"/>
        <w:rPr>
          <w:lang w:val="en-IN"/>
        </w:rPr>
      </w:pPr>
      <w:r>
        <w:rPr>
          <w:rStyle w:val="FootnoteReference"/>
        </w:rPr>
        <w:footnoteRef/>
      </w:r>
      <w:r>
        <w:t xml:space="preserve"> </w:t>
      </w:r>
      <w:r>
        <w:rPr>
          <w:lang w:val="en-IN"/>
        </w:rPr>
        <w:t>Ins. by Sub. Cl. (d) of C</w:t>
      </w:r>
      <w:bookmarkStart w:id="8" w:name="_GoBack"/>
      <w:bookmarkEnd w:id="8"/>
      <w:r>
        <w:rPr>
          <w:lang w:val="en-IN"/>
        </w:rPr>
        <w:t>l. (iii) of Reg.2, the Petroleum and Natural Gas Regulatory Board (Determining Capacity of Petroleum, Petroleum Products and Natural Gas Pipeline) Amendment Regulation, 2022, (</w:t>
      </w:r>
      <w:proofErr w:type="spellStart"/>
      <w:r>
        <w:rPr>
          <w:lang w:val="en-IN"/>
        </w:rPr>
        <w:t>w.e.f</w:t>
      </w:r>
      <w:proofErr w:type="spellEnd"/>
      <w:r>
        <w:rPr>
          <w:lang w:val="en-IN"/>
        </w:rPr>
        <w:t>. 18.11.2022).</w:t>
      </w:r>
    </w:p>
  </w:footnote>
  <w:footnote w:id="10">
    <w:p w14:paraId="5A33A3EE" w14:textId="27D8121B" w:rsidR="00C24859" w:rsidRPr="00C413C9" w:rsidRDefault="00C24859" w:rsidP="00C413C9">
      <w:pPr>
        <w:pStyle w:val="FootnoteText"/>
        <w:rPr>
          <w:lang w:val="en-IN"/>
        </w:rPr>
      </w:pPr>
      <w:r>
        <w:rPr>
          <w:rStyle w:val="FootnoteReference"/>
        </w:rPr>
        <w:footnoteRef/>
      </w:r>
      <w:r>
        <w:t xml:space="preserve"> </w:t>
      </w:r>
      <w:r>
        <w:rPr>
          <w:lang w:val="en-IN"/>
        </w:rPr>
        <w:t>Del. by Sub. Cl. (e) of Cl. (iii) of Reg.2, the Petroleum and Natural Gas Regulatory Board (Determining Capacity of Petroleum, Petroleum Products and Natural Gas Pipeline) Amendment Regulation, 2022, (</w:t>
      </w:r>
      <w:proofErr w:type="spellStart"/>
      <w:r>
        <w:rPr>
          <w:lang w:val="en-IN"/>
        </w:rPr>
        <w:t>w.e.f</w:t>
      </w:r>
      <w:proofErr w:type="spellEnd"/>
      <w:r>
        <w:rPr>
          <w:lang w:val="en-IN"/>
        </w:rPr>
        <w:t>. 18.11.2022).</w:t>
      </w:r>
    </w:p>
  </w:footnote>
  <w:footnote w:id="11">
    <w:p w14:paraId="39441A7B" w14:textId="0450BA94" w:rsidR="00FE50B4" w:rsidRPr="00C413C9" w:rsidRDefault="00FE50B4">
      <w:pPr>
        <w:pStyle w:val="FootnoteText"/>
        <w:rPr>
          <w:lang w:val="en-IN"/>
        </w:rPr>
      </w:pPr>
      <w:r>
        <w:rPr>
          <w:rStyle w:val="FootnoteReference"/>
        </w:rPr>
        <w:footnoteRef/>
      </w:r>
      <w:r>
        <w:t xml:space="preserve"> </w:t>
      </w:r>
      <w:r>
        <w:rPr>
          <w:lang w:val="en-IN"/>
        </w:rPr>
        <w:t>Subs. by Sub. Cl. (a) of Cl. (iv) of Reg.2, the Petroleum and Natural Gas Regulatory Board (Determining Capacity of Petroleum, Petroleum Products and Natural Gas Pipeline) Amendment Regulation, 2022, (</w:t>
      </w:r>
      <w:proofErr w:type="spellStart"/>
      <w:r>
        <w:rPr>
          <w:lang w:val="en-IN"/>
        </w:rPr>
        <w:t>w.e.f</w:t>
      </w:r>
      <w:proofErr w:type="spellEnd"/>
      <w:r>
        <w:rPr>
          <w:lang w:val="en-IN"/>
        </w:rPr>
        <w:t>. 18.11.2022).</w:t>
      </w:r>
    </w:p>
  </w:footnote>
  <w:footnote w:id="12">
    <w:p w14:paraId="223423E2" w14:textId="1E475BDA" w:rsidR="00FE50B4" w:rsidRPr="0056077F" w:rsidRDefault="00FE50B4" w:rsidP="00FE50B4">
      <w:pPr>
        <w:pStyle w:val="FootnoteText"/>
        <w:rPr>
          <w:lang w:val="en-IN"/>
        </w:rPr>
      </w:pPr>
      <w:r>
        <w:rPr>
          <w:rStyle w:val="FootnoteReference"/>
        </w:rPr>
        <w:footnoteRef/>
      </w:r>
      <w:r>
        <w:t xml:space="preserve"> </w:t>
      </w:r>
      <w:r>
        <w:rPr>
          <w:lang w:val="en-IN"/>
        </w:rPr>
        <w:t>Subs. by Sub. Cl. (b) of Cl. (iv) of Reg.2, the Petroleum and Natural Gas Regulatory Board (Determining Capacity of Petroleum, Petroleum Products and Natural Gas Pipeline) Amendment Regulation, 2022, (</w:t>
      </w:r>
      <w:proofErr w:type="spellStart"/>
      <w:r>
        <w:rPr>
          <w:lang w:val="en-IN"/>
        </w:rPr>
        <w:t>w.e.f</w:t>
      </w:r>
      <w:proofErr w:type="spellEnd"/>
      <w:r>
        <w:rPr>
          <w:lang w:val="en-IN"/>
        </w:rPr>
        <w:t>. 18.11.2022).</w:t>
      </w:r>
    </w:p>
    <w:p w14:paraId="78EBBE53" w14:textId="7725A083" w:rsidR="00FE50B4" w:rsidRPr="00C413C9" w:rsidRDefault="00FE50B4">
      <w:pPr>
        <w:pStyle w:val="FootnoteText"/>
        <w:rPr>
          <w:lang w:val="en-IN"/>
        </w:rPr>
      </w:pPr>
    </w:p>
  </w:footnote>
  <w:footnote w:id="13">
    <w:p w14:paraId="694F3115" w14:textId="6272AE39" w:rsidR="00FE50B4" w:rsidRPr="0056077F" w:rsidRDefault="00FE50B4" w:rsidP="00FE50B4">
      <w:pPr>
        <w:pStyle w:val="FootnoteText"/>
        <w:rPr>
          <w:lang w:val="en-IN"/>
        </w:rPr>
      </w:pPr>
      <w:r>
        <w:rPr>
          <w:rStyle w:val="FootnoteReference"/>
        </w:rPr>
        <w:footnoteRef/>
      </w:r>
      <w:r>
        <w:t xml:space="preserve"> </w:t>
      </w:r>
      <w:r>
        <w:rPr>
          <w:lang w:val="en-IN"/>
        </w:rPr>
        <w:t>Subs. by Sub. Cl. (a) of Cl. (v) of Reg.2, the Petroleum and Natural Gas Regulatory Board (Determining Capacity of Petroleum, Petroleum Products and Natural Gas Pipeline) Amendment Regulation, 2022, (</w:t>
      </w:r>
      <w:proofErr w:type="spellStart"/>
      <w:r>
        <w:rPr>
          <w:lang w:val="en-IN"/>
        </w:rPr>
        <w:t>w.e.f</w:t>
      </w:r>
      <w:proofErr w:type="spellEnd"/>
      <w:r>
        <w:rPr>
          <w:lang w:val="en-IN"/>
        </w:rPr>
        <w:t>. 18.11.2022).</w:t>
      </w:r>
    </w:p>
    <w:p w14:paraId="26578E38" w14:textId="4646C6C5" w:rsidR="00FE50B4" w:rsidRPr="00C413C9" w:rsidRDefault="00FE50B4">
      <w:pPr>
        <w:pStyle w:val="FootnoteText"/>
        <w:rPr>
          <w:lang w:val="en-IN"/>
        </w:rPr>
      </w:pPr>
    </w:p>
  </w:footnote>
  <w:footnote w:id="14">
    <w:p w14:paraId="598179B4" w14:textId="06DFC53D" w:rsidR="002004BC" w:rsidRPr="00C413C9" w:rsidRDefault="002004BC">
      <w:pPr>
        <w:pStyle w:val="FootnoteText"/>
        <w:rPr>
          <w:lang w:val="en-IN"/>
        </w:rPr>
      </w:pPr>
      <w:r>
        <w:rPr>
          <w:rStyle w:val="FootnoteReference"/>
        </w:rPr>
        <w:footnoteRef/>
      </w:r>
      <w:r>
        <w:t xml:space="preserve"> </w:t>
      </w:r>
      <w:r>
        <w:rPr>
          <w:lang w:val="en-IN"/>
        </w:rPr>
        <w:t>Subs. by Sub. Cl. (b) of Cl. (v) of Reg.2, the Petroleum and Natural Gas Regulatory Board (Determining Capacity of Petroleum, Petroleum Products and Natural Gas Pipeline) Amendment Regulation, 2022, (</w:t>
      </w:r>
      <w:proofErr w:type="spellStart"/>
      <w:r>
        <w:rPr>
          <w:lang w:val="en-IN"/>
        </w:rPr>
        <w:t>w.e.f</w:t>
      </w:r>
      <w:proofErr w:type="spellEnd"/>
      <w:r>
        <w:rPr>
          <w:lang w:val="en-IN"/>
        </w:rPr>
        <w:t>. 18.11.2022).</w:t>
      </w:r>
    </w:p>
  </w:footnote>
  <w:footnote w:id="15">
    <w:p w14:paraId="1C889942" w14:textId="72CD618A" w:rsidR="002004BC" w:rsidRPr="00C413C9" w:rsidRDefault="002004BC">
      <w:pPr>
        <w:pStyle w:val="FootnoteText"/>
        <w:rPr>
          <w:lang w:val="en-IN"/>
        </w:rPr>
      </w:pPr>
      <w:r>
        <w:rPr>
          <w:rStyle w:val="FootnoteReference"/>
        </w:rPr>
        <w:footnoteRef/>
      </w:r>
      <w:r>
        <w:t xml:space="preserve"> </w:t>
      </w:r>
      <w:r>
        <w:rPr>
          <w:lang w:val="en-IN"/>
        </w:rPr>
        <w:t>Ins. by Sub. Cl. (c) of Cl. (v) of Reg.2, the Petroleum and Natural Gas Regulatory Board (Determining Capacity of Petroleum, Petroleum Products and Natural Gas Pipeline) Amendment Regulation, 2022, (</w:t>
      </w:r>
      <w:proofErr w:type="spellStart"/>
      <w:r>
        <w:rPr>
          <w:lang w:val="en-IN"/>
        </w:rPr>
        <w:t>w.e.f</w:t>
      </w:r>
      <w:proofErr w:type="spellEnd"/>
      <w:r>
        <w:rPr>
          <w:lang w:val="en-IN"/>
        </w:rPr>
        <w:t>. 18.11.2022).</w:t>
      </w:r>
    </w:p>
  </w:footnote>
  <w:footnote w:id="16">
    <w:p w14:paraId="5CA9CA1D" w14:textId="2FC2F6C5" w:rsidR="0078527B" w:rsidRPr="00C413C9" w:rsidRDefault="0078527B">
      <w:pPr>
        <w:pStyle w:val="FootnoteText"/>
        <w:rPr>
          <w:lang w:val="en-IN"/>
        </w:rPr>
      </w:pPr>
      <w:r>
        <w:rPr>
          <w:rStyle w:val="FootnoteReference"/>
        </w:rPr>
        <w:footnoteRef/>
      </w:r>
      <w:r>
        <w:t xml:space="preserve"> </w:t>
      </w:r>
      <w:r>
        <w:rPr>
          <w:lang w:val="en-IN"/>
        </w:rPr>
        <w:t>Ins. by Pt. (</w:t>
      </w:r>
      <w:proofErr w:type="spellStart"/>
      <w:r>
        <w:rPr>
          <w:lang w:val="en-IN"/>
        </w:rPr>
        <w:t>i</w:t>
      </w:r>
      <w:proofErr w:type="spellEnd"/>
      <w:r>
        <w:rPr>
          <w:lang w:val="en-IN"/>
        </w:rPr>
        <w:t>) of Sub. Cl. (a) of Cl. (vi) of Reg.2, the Petroleum and Natural Gas Regulatory Board (Determining Capacity of Petroleum, Petroleum Products and Natural Gas Pipeline) Amendment Regulation, 2022, (</w:t>
      </w:r>
      <w:proofErr w:type="spellStart"/>
      <w:r>
        <w:rPr>
          <w:lang w:val="en-IN"/>
        </w:rPr>
        <w:t>w.e.f</w:t>
      </w:r>
      <w:proofErr w:type="spellEnd"/>
      <w:r>
        <w:rPr>
          <w:lang w:val="en-IN"/>
        </w:rPr>
        <w:t>. 18.11.2022).</w:t>
      </w:r>
    </w:p>
  </w:footnote>
  <w:footnote w:id="17">
    <w:p w14:paraId="270C6CE5" w14:textId="2D75BADA" w:rsidR="0078527B" w:rsidRPr="00C413C9" w:rsidRDefault="0078527B">
      <w:pPr>
        <w:pStyle w:val="FootnoteText"/>
        <w:rPr>
          <w:lang w:val="en-IN"/>
        </w:rPr>
      </w:pPr>
      <w:r>
        <w:rPr>
          <w:rStyle w:val="FootnoteReference"/>
        </w:rPr>
        <w:footnoteRef/>
      </w:r>
      <w:r>
        <w:t xml:space="preserve"> </w:t>
      </w:r>
      <w:r>
        <w:rPr>
          <w:lang w:val="en-IN"/>
        </w:rPr>
        <w:t>Ins. by Pt. (ii) of Sub. Cl. (a) of Cl. (vi) of Reg.2, the Petroleum and Natural Gas Regulatory Board (Determining Capacity of Petroleum, Petroleum Products and Natural Gas Pipeline) Amendment Regulation, 2022, (</w:t>
      </w:r>
      <w:proofErr w:type="spellStart"/>
      <w:r>
        <w:rPr>
          <w:lang w:val="en-IN"/>
        </w:rPr>
        <w:t>w.e.f</w:t>
      </w:r>
      <w:proofErr w:type="spellEnd"/>
      <w:r>
        <w:rPr>
          <w:lang w:val="en-IN"/>
        </w:rPr>
        <w:t>. 18.11.2022).</w:t>
      </w:r>
    </w:p>
  </w:footnote>
  <w:footnote w:id="18">
    <w:p w14:paraId="002938FC" w14:textId="6E5A9B9A" w:rsidR="00F861E2" w:rsidRPr="00C413C9" w:rsidRDefault="00F861E2">
      <w:pPr>
        <w:pStyle w:val="FootnoteText"/>
        <w:rPr>
          <w:lang w:val="en-IN"/>
        </w:rPr>
      </w:pPr>
      <w:r>
        <w:rPr>
          <w:rStyle w:val="FootnoteReference"/>
        </w:rPr>
        <w:footnoteRef/>
      </w:r>
      <w:r>
        <w:t xml:space="preserve"> </w:t>
      </w:r>
      <w:r>
        <w:rPr>
          <w:lang w:val="en-IN"/>
        </w:rPr>
        <w:t>Omitted by Sub. Cl. (b) of Cl. (vi) of Reg.2, the Petroleum and Natural Gas Regulatory Board (Determining Capacity of Petroleum, Petroleum Products and Natural Gas Pipeline) Amendment Regulation, 2022, (</w:t>
      </w:r>
      <w:proofErr w:type="spellStart"/>
      <w:r>
        <w:rPr>
          <w:lang w:val="en-IN"/>
        </w:rPr>
        <w:t>w.e.f</w:t>
      </w:r>
      <w:proofErr w:type="spellEnd"/>
      <w:r>
        <w:rPr>
          <w:lang w:val="en-IN"/>
        </w:rPr>
        <w:t>. 18.11.2022).</w:t>
      </w:r>
    </w:p>
  </w:footnote>
  <w:footnote w:id="19">
    <w:p w14:paraId="17D88669" w14:textId="21180BE3" w:rsidR="00F861E2" w:rsidRPr="00C413C9" w:rsidRDefault="00F861E2">
      <w:pPr>
        <w:pStyle w:val="FootnoteText"/>
        <w:rPr>
          <w:lang w:val="en-IN"/>
        </w:rPr>
      </w:pPr>
      <w:r>
        <w:rPr>
          <w:rStyle w:val="FootnoteReference"/>
        </w:rPr>
        <w:footnoteRef/>
      </w:r>
      <w:r>
        <w:t xml:space="preserve"> </w:t>
      </w:r>
      <w:r>
        <w:rPr>
          <w:lang w:val="en-IN"/>
        </w:rPr>
        <w:t>Ins. by Sub. Cl. (c) of Cl. (vi) of Reg.2, the Petroleum and Natural Gas Regulatory Board (Determining Capacity of Petroleum, Petroleum Products and Natural Gas Pipeline) Amendment Regulation, 2022, (</w:t>
      </w:r>
      <w:proofErr w:type="spellStart"/>
      <w:r>
        <w:rPr>
          <w:lang w:val="en-IN"/>
        </w:rPr>
        <w:t>w.e.f</w:t>
      </w:r>
      <w:proofErr w:type="spellEnd"/>
      <w:r>
        <w:rPr>
          <w:lang w:val="en-IN"/>
        </w:rPr>
        <w:t>. 18.11.2022).</w:t>
      </w:r>
    </w:p>
  </w:footnote>
  <w:footnote w:id="20">
    <w:p w14:paraId="49FB0A45" w14:textId="049CBE03" w:rsidR="00EA4471" w:rsidRPr="00EA4471" w:rsidRDefault="00EA4471" w:rsidP="007B29CA">
      <w:pPr>
        <w:pStyle w:val="FootnoteText"/>
        <w:jc w:val="both"/>
        <w:rPr>
          <w:lang w:val="en-IN"/>
        </w:rPr>
      </w:pPr>
      <w:r>
        <w:rPr>
          <w:rStyle w:val="FootnoteReference"/>
        </w:rPr>
        <w:footnoteRef/>
      </w:r>
      <w:r>
        <w:t xml:space="preserve"> </w:t>
      </w:r>
      <w:r>
        <w:rPr>
          <w:lang w:val="en-IN"/>
        </w:rPr>
        <w:t xml:space="preserve">Subs. by reg.2, the </w:t>
      </w:r>
      <w:r w:rsidR="007B29CA">
        <w:rPr>
          <w:lang w:val="en-IN"/>
        </w:rPr>
        <w:t>Petroleum and Natural Gas Regulatory Board (Determining Capacity of Petroleum, Petroleum Products and Natural Gas Pipeline) Amendment Regulation, 201</w:t>
      </w:r>
      <w:r w:rsidR="00FD5698">
        <w:rPr>
          <w:lang w:val="en-IN"/>
        </w:rPr>
        <w:t>4</w:t>
      </w:r>
      <w:r w:rsidR="007B29CA">
        <w:rPr>
          <w:lang w:val="en-IN"/>
        </w:rPr>
        <w:t>, for sub reg. 1 of reg. 9, (</w:t>
      </w:r>
      <w:proofErr w:type="spellStart"/>
      <w:r w:rsidR="007B29CA">
        <w:rPr>
          <w:lang w:val="en-IN"/>
        </w:rPr>
        <w:t>w.e.f</w:t>
      </w:r>
      <w:proofErr w:type="spellEnd"/>
      <w:r w:rsidR="007B29CA">
        <w:rPr>
          <w:lang w:val="en-IN"/>
        </w:rPr>
        <w:t>. 01.01.2015).</w:t>
      </w:r>
    </w:p>
  </w:footnote>
  <w:footnote w:id="21">
    <w:p w14:paraId="1EAFC353" w14:textId="0A1BE859" w:rsidR="002C1438" w:rsidRPr="00C413C9" w:rsidRDefault="002C1438">
      <w:pPr>
        <w:pStyle w:val="FootnoteText"/>
        <w:rPr>
          <w:lang w:val="en-IN"/>
        </w:rPr>
      </w:pPr>
      <w:r>
        <w:rPr>
          <w:rStyle w:val="FootnoteReference"/>
        </w:rPr>
        <w:footnoteRef/>
      </w:r>
      <w:r>
        <w:t xml:space="preserve"> </w:t>
      </w:r>
      <w:r>
        <w:rPr>
          <w:lang w:val="en-IN"/>
        </w:rPr>
        <w:t>Ins. by Sub. Cl. (a) of Cl. (vii) of Reg.2, the Petroleum and Natural Gas Regulatory Board (Determining Capacity of Petroleum, Petroleum Products and Natural Gas Pipeline) Amendment Regulation, 2022, (</w:t>
      </w:r>
      <w:proofErr w:type="spellStart"/>
      <w:r>
        <w:rPr>
          <w:lang w:val="en-IN"/>
        </w:rPr>
        <w:t>w.e.f</w:t>
      </w:r>
      <w:proofErr w:type="spellEnd"/>
      <w:r>
        <w:rPr>
          <w:lang w:val="en-IN"/>
        </w:rPr>
        <w:t>. 18.11.2022).</w:t>
      </w:r>
    </w:p>
  </w:footnote>
  <w:footnote w:id="22">
    <w:p w14:paraId="65F04151" w14:textId="6053EB46" w:rsidR="004361C5" w:rsidRPr="00C413C9" w:rsidRDefault="004361C5">
      <w:pPr>
        <w:pStyle w:val="FootnoteText"/>
        <w:rPr>
          <w:lang w:val="en-IN"/>
        </w:rPr>
      </w:pPr>
      <w:r>
        <w:rPr>
          <w:rStyle w:val="FootnoteReference"/>
        </w:rPr>
        <w:footnoteRef/>
      </w:r>
      <w:r>
        <w:t xml:space="preserve"> </w:t>
      </w:r>
      <w:r w:rsidR="0015386A">
        <w:rPr>
          <w:lang w:val="en-IN"/>
        </w:rPr>
        <w:t>Subs</w:t>
      </w:r>
      <w:r>
        <w:rPr>
          <w:lang w:val="en-IN"/>
        </w:rPr>
        <w:t>. by Sub. Cl. (b) of Cl. (vii) of Reg.2, the Petroleum and Natural Gas Regulatory Board (Determining Capacity of Petroleum, Petroleum Products and Natural Gas Pipeline) Amendment Regulation, 2022, (</w:t>
      </w:r>
      <w:proofErr w:type="spellStart"/>
      <w:r>
        <w:rPr>
          <w:lang w:val="en-IN"/>
        </w:rPr>
        <w:t>w.e.f</w:t>
      </w:r>
      <w:proofErr w:type="spellEnd"/>
      <w:r>
        <w:rPr>
          <w:lang w:val="en-IN"/>
        </w:rPr>
        <w:t>. 18.11.2022).</w:t>
      </w:r>
    </w:p>
  </w:footnote>
  <w:footnote w:id="23">
    <w:p w14:paraId="5024703E" w14:textId="3B66CB6F" w:rsidR="005A134C" w:rsidRPr="00C413C9" w:rsidRDefault="005A134C">
      <w:pPr>
        <w:pStyle w:val="FootnoteText"/>
        <w:rPr>
          <w:lang w:val="en-IN"/>
        </w:rPr>
      </w:pPr>
      <w:r>
        <w:rPr>
          <w:rStyle w:val="FootnoteReference"/>
        </w:rPr>
        <w:footnoteRef/>
      </w:r>
      <w:r>
        <w:t xml:space="preserve"> </w:t>
      </w:r>
      <w:r w:rsidR="0015386A">
        <w:rPr>
          <w:lang w:val="en-IN"/>
        </w:rPr>
        <w:t>Subs</w:t>
      </w:r>
      <w:r>
        <w:rPr>
          <w:lang w:val="en-IN"/>
        </w:rPr>
        <w:t>. by Sub. Cl. (b) of Cl. (vii) of Reg.2, the Petroleum and Natural Gas Regulatory Board (Determining Capacity of Petroleum, Petroleum Products and Natural Gas Pipeline) Amendment Regulation, 2022, (</w:t>
      </w:r>
      <w:proofErr w:type="spellStart"/>
      <w:r>
        <w:rPr>
          <w:lang w:val="en-IN"/>
        </w:rPr>
        <w:t>w.e.f</w:t>
      </w:r>
      <w:proofErr w:type="spellEnd"/>
      <w:r>
        <w:rPr>
          <w:lang w:val="en-IN"/>
        </w:rPr>
        <w:t>. 18.11.2022).</w:t>
      </w:r>
    </w:p>
  </w:footnote>
  <w:footnote w:id="24">
    <w:p w14:paraId="5A600D81" w14:textId="07C3198C" w:rsidR="0015386A" w:rsidRPr="0056077F" w:rsidRDefault="0015386A" w:rsidP="0015386A">
      <w:pPr>
        <w:pStyle w:val="FootnoteText"/>
        <w:rPr>
          <w:lang w:val="en-IN"/>
        </w:rPr>
      </w:pPr>
      <w:r>
        <w:rPr>
          <w:rStyle w:val="FootnoteReference"/>
        </w:rPr>
        <w:footnoteRef/>
      </w:r>
      <w:r>
        <w:t xml:space="preserve"> </w:t>
      </w:r>
      <w:r>
        <w:rPr>
          <w:lang w:val="en-IN"/>
        </w:rPr>
        <w:t>Subs. by Sub. Cl. (c) of Cl. (vii) of Reg.2, the Petroleum and Natural Gas Regulatory Board (Determining Capacity of Petroleum, Petroleum Products and Natural Gas Pipeline) Amendment Regulation, 2022, (</w:t>
      </w:r>
      <w:proofErr w:type="spellStart"/>
      <w:r>
        <w:rPr>
          <w:lang w:val="en-IN"/>
        </w:rPr>
        <w:t>w.e.f</w:t>
      </w:r>
      <w:proofErr w:type="spellEnd"/>
      <w:r>
        <w:rPr>
          <w:lang w:val="en-IN"/>
        </w:rPr>
        <w:t>. 18.11.2022).</w:t>
      </w:r>
    </w:p>
    <w:p w14:paraId="27C635BE" w14:textId="34D5A5B3" w:rsidR="0015386A" w:rsidRPr="00C413C9" w:rsidRDefault="0015386A">
      <w:pPr>
        <w:pStyle w:val="FootnoteText"/>
        <w:rPr>
          <w:lang w:val="en-IN"/>
        </w:rPr>
      </w:pPr>
    </w:p>
  </w:footnote>
  <w:footnote w:id="25">
    <w:p w14:paraId="5FD4DB20" w14:textId="2AE8E780" w:rsidR="001A4165" w:rsidRPr="00C413C9" w:rsidRDefault="001A4165">
      <w:pPr>
        <w:pStyle w:val="FootnoteText"/>
        <w:rPr>
          <w:lang w:val="en-IN"/>
        </w:rPr>
      </w:pPr>
      <w:r>
        <w:rPr>
          <w:rStyle w:val="FootnoteReference"/>
        </w:rPr>
        <w:footnoteRef/>
      </w:r>
      <w:r>
        <w:t xml:space="preserve"> </w:t>
      </w:r>
      <w:r>
        <w:rPr>
          <w:lang w:val="en-IN"/>
        </w:rPr>
        <w:t>Ins. by Sub. Cl. (a) of Cl. (viii) of Reg.2, the Petroleum and Natural Gas Regulatory Board (Determining Capacity of Petroleum, Petroleum Products and Natural Gas Pipeline) Amendment Regulation, 2022, (</w:t>
      </w:r>
      <w:proofErr w:type="spellStart"/>
      <w:r>
        <w:rPr>
          <w:lang w:val="en-IN"/>
        </w:rPr>
        <w:t>w.e.f</w:t>
      </w:r>
      <w:proofErr w:type="spellEnd"/>
      <w:r>
        <w:rPr>
          <w:lang w:val="en-IN"/>
        </w:rPr>
        <w:t>. 18.11.2022).</w:t>
      </w:r>
    </w:p>
  </w:footnote>
  <w:footnote w:id="26">
    <w:p w14:paraId="672BE000" w14:textId="65294D1A" w:rsidR="00D37203" w:rsidRPr="00C413C9" w:rsidRDefault="00D37203">
      <w:pPr>
        <w:pStyle w:val="FootnoteText"/>
        <w:rPr>
          <w:lang w:val="en-IN"/>
        </w:rPr>
      </w:pPr>
      <w:r>
        <w:rPr>
          <w:rStyle w:val="FootnoteReference"/>
        </w:rPr>
        <w:footnoteRef/>
      </w:r>
      <w:r>
        <w:t xml:space="preserve"> </w:t>
      </w:r>
      <w:r>
        <w:rPr>
          <w:lang w:val="en-IN"/>
        </w:rPr>
        <w:t>Subs. by Sub. Cl. (c) of Cl. (viii) of Reg.2, the Petroleum and Natural Gas Regulatory Board (Determining Capacity of Petroleum, Petroleum Products and Natural Gas Pipeline) Amendment Regulation, 2022, (</w:t>
      </w:r>
      <w:proofErr w:type="spellStart"/>
      <w:r>
        <w:rPr>
          <w:lang w:val="en-IN"/>
        </w:rPr>
        <w:t>w.e.f</w:t>
      </w:r>
      <w:proofErr w:type="spellEnd"/>
      <w:r>
        <w:rPr>
          <w:lang w:val="en-IN"/>
        </w:rPr>
        <w:t>. 18.11.2022).</w:t>
      </w:r>
    </w:p>
  </w:footnote>
  <w:footnote w:id="27">
    <w:p w14:paraId="197CA70E" w14:textId="1430BCEA" w:rsidR="00AB0B55" w:rsidRPr="00C413C9" w:rsidRDefault="00AB0B55">
      <w:pPr>
        <w:pStyle w:val="FootnoteText"/>
        <w:rPr>
          <w:lang w:val="en-IN"/>
        </w:rPr>
      </w:pPr>
      <w:r>
        <w:rPr>
          <w:rStyle w:val="FootnoteReference"/>
        </w:rPr>
        <w:footnoteRef/>
      </w:r>
      <w:r>
        <w:t xml:space="preserve"> </w:t>
      </w:r>
      <w:r>
        <w:rPr>
          <w:lang w:val="en-IN"/>
        </w:rPr>
        <w:t>Subs. by Sub. Cl. (c) of Cl. (viii) of Reg.2, the Petroleum and Natural Gas Regulatory Board (Determining Capacity of Petroleum, Petroleum Products and Natural Gas Pipeline) Amendment Regulation, 2022, (</w:t>
      </w:r>
      <w:proofErr w:type="spellStart"/>
      <w:r>
        <w:rPr>
          <w:lang w:val="en-IN"/>
        </w:rPr>
        <w:t>w.e.f</w:t>
      </w:r>
      <w:proofErr w:type="spellEnd"/>
      <w:r>
        <w:rPr>
          <w:lang w:val="en-IN"/>
        </w:rPr>
        <w:t>. 18.11.2022).</w:t>
      </w:r>
    </w:p>
  </w:footnote>
  <w:footnote w:id="28">
    <w:p w14:paraId="1ED6AB7D" w14:textId="0B91AB19" w:rsidR="00AB0B55" w:rsidRPr="00C413C9" w:rsidRDefault="00AB0B55">
      <w:pPr>
        <w:pStyle w:val="FootnoteText"/>
        <w:rPr>
          <w:lang w:val="en-IN"/>
        </w:rPr>
      </w:pPr>
      <w:r>
        <w:rPr>
          <w:rStyle w:val="FootnoteReference"/>
        </w:rPr>
        <w:footnoteRef/>
      </w:r>
      <w:r>
        <w:t xml:space="preserve"> </w:t>
      </w:r>
      <w:r>
        <w:rPr>
          <w:lang w:val="en-IN"/>
        </w:rPr>
        <w:t>Ins. by Sub. Cl. (d) of Cl. (viii) of Reg.2, the Petroleum and Natural Gas Regulatory Board (Determining Capacity of Petroleum, Petroleum Products and Natural Gas Pipeline) Amendment Regulation, 2022, (</w:t>
      </w:r>
      <w:proofErr w:type="spellStart"/>
      <w:r>
        <w:rPr>
          <w:lang w:val="en-IN"/>
        </w:rPr>
        <w:t>w.e.f</w:t>
      </w:r>
      <w:proofErr w:type="spellEnd"/>
      <w:r>
        <w:rPr>
          <w:lang w:val="en-IN"/>
        </w:rPr>
        <w:t>. 18.11.2022).</w:t>
      </w:r>
    </w:p>
  </w:footnote>
  <w:footnote w:id="29">
    <w:p w14:paraId="47EC59CF" w14:textId="662C1ED2" w:rsidR="00F93A3C" w:rsidRPr="0056077F" w:rsidRDefault="00F93A3C" w:rsidP="00F93A3C">
      <w:pPr>
        <w:pStyle w:val="FootnoteText"/>
        <w:rPr>
          <w:lang w:val="en-IN"/>
        </w:rPr>
      </w:pPr>
      <w:r>
        <w:rPr>
          <w:rStyle w:val="FootnoteReference"/>
        </w:rPr>
        <w:footnoteRef/>
      </w:r>
      <w:r>
        <w:t xml:space="preserve"> </w:t>
      </w:r>
      <w:r>
        <w:rPr>
          <w:lang w:val="en-IN"/>
        </w:rPr>
        <w:t>Subs. by Sub. Cl. (b) of Cl. (viii) of Reg.2, the Petroleum and Natural Gas Regulatory Board (Determining Capacity of Petroleum, Petroleum Products and Natural Gas Pipeline) Amendment Regulation, 2022, (</w:t>
      </w:r>
      <w:proofErr w:type="spellStart"/>
      <w:r>
        <w:rPr>
          <w:lang w:val="en-IN"/>
        </w:rPr>
        <w:t>w.e.f</w:t>
      </w:r>
      <w:proofErr w:type="spellEnd"/>
      <w:r>
        <w:rPr>
          <w:lang w:val="en-IN"/>
        </w:rPr>
        <w:t>. 18.11.2022).</w:t>
      </w:r>
    </w:p>
    <w:p w14:paraId="781B6C56" w14:textId="695342FD" w:rsidR="00F93A3C" w:rsidRPr="00C413C9" w:rsidRDefault="00F93A3C">
      <w:pPr>
        <w:pStyle w:val="FootnoteText"/>
        <w:rPr>
          <w:lang w:val="en-IN"/>
        </w:rPr>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80F4E"/>
    <w:multiLevelType w:val="hybridMultilevel"/>
    <w:tmpl w:val="F112E602"/>
    <w:lvl w:ilvl="0" w:tplc="67023578">
      <w:start w:val="1"/>
      <w:numFmt w:val="lowerRoman"/>
      <w:lvlText w:val="(%1)"/>
      <w:lvlJc w:val="left"/>
      <w:pPr>
        <w:ind w:left="720" w:hanging="360"/>
      </w:pPr>
      <w:rPr>
        <w:b w:val="0"/>
        <w:i w:val="0"/>
        <w:i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3D95092"/>
    <w:multiLevelType w:val="hybridMultilevel"/>
    <w:tmpl w:val="62CA7862"/>
    <w:lvl w:ilvl="0" w:tplc="68CA76C0">
      <w:start w:val="1"/>
      <w:numFmt w:val="lowerLetter"/>
      <w:lvlText w:val="(%1)"/>
      <w:lvlJc w:val="left"/>
      <w:pPr>
        <w:ind w:left="1440" w:hanging="360"/>
      </w:pPr>
      <w:rPr>
        <w:b w:val="0"/>
        <w:i/>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 w15:restartNumberingAfterBreak="0">
    <w:nsid w:val="0499122B"/>
    <w:multiLevelType w:val="hybridMultilevel"/>
    <w:tmpl w:val="90964F5E"/>
    <w:lvl w:ilvl="0" w:tplc="27E61AD6">
      <w:start w:val="1"/>
      <w:numFmt w:val="decimal"/>
      <w:lvlText w:val="(%1)"/>
      <w:lvlJc w:val="left"/>
      <w:pPr>
        <w:ind w:left="720" w:hanging="360"/>
      </w:pPr>
      <w:rPr>
        <w:b w:val="0"/>
        <w:i w:val="0"/>
        <w:i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B9E4D77"/>
    <w:multiLevelType w:val="hybridMultilevel"/>
    <w:tmpl w:val="9F3EBD82"/>
    <w:lvl w:ilvl="0" w:tplc="AE7651FE">
      <w:start w:val="1"/>
      <w:numFmt w:val="lowerLetter"/>
      <w:lvlText w:val="(%1)"/>
      <w:lvlJc w:val="left"/>
      <w:pPr>
        <w:ind w:left="360" w:hanging="360"/>
      </w:pPr>
      <w:rPr>
        <w:b w:val="0"/>
        <w:i w:val="0"/>
        <w:iCs/>
        <w:strike w:val="0"/>
        <w:dstrike w:val="0"/>
        <w:u w:val="none"/>
        <w:effect w:val="none"/>
      </w:rPr>
    </w:lvl>
    <w:lvl w:ilvl="1" w:tplc="40090019">
      <w:start w:val="1"/>
      <w:numFmt w:val="lowerLetter"/>
      <w:lvlText w:val="%2."/>
      <w:lvlJc w:val="left"/>
      <w:pPr>
        <w:ind w:left="2291" w:hanging="360"/>
      </w:pPr>
    </w:lvl>
    <w:lvl w:ilvl="2" w:tplc="4009001B">
      <w:start w:val="1"/>
      <w:numFmt w:val="lowerRoman"/>
      <w:lvlText w:val="%3."/>
      <w:lvlJc w:val="right"/>
      <w:pPr>
        <w:ind w:left="3011" w:hanging="180"/>
      </w:pPr>
    </w:lvl>
    <w:lvl w:ilvl="3" w:tplc="4009000F">
      <w:start w:val="1"/>
      <w:numFmt w:val="decimal"/>
      <w:lvlText w:val="%4."/>
      <w:lvlJc w:val="left"/>
      <w:pPr>
        <w:ind w:left="3731" w:hanging="360"/>
      </w:pPr>
    </w:lvl>
    <w:lvl w:ilvl="4" w:tplc="40090019">
      <w:start w:val="1"/>
      <w:numFmt w:val="lowerLetter"/>
      <w:lvlText w:val="%5."/>
      <w:lvlJc w:val="left"/>
      <w:pPr>
        <w:ind w:left="4451" w:hanging="360"/>
      </w:pPr>
    </w:lvl>
    <w:lvl w:ilvl="5" w:tplc="4009001B">
      <w:start w:val="1"/>
      <w:numFmt w:val="lowerRoman"/>
      <w:lvlText w:val="%6."/>
      <w:lvlJc w:val="right"/>
      <w:pPr>
        <w:ind w:left="5171" w:hanging="180"/>
      </w:pPr>
    </w:lvl>
    <w:lvl w:ilvl="6" w:tplc="4009000F">
      <w:start w:val="1"/>
      <w:numFmt w:val="decimal"/>
      <w:lvlText w:val="%7."/>
      <w:lvlJc w:val="left"/>
      <w:pPr>
        <w:ind w:left="5891" w:hanging="360"/>
      </w:pPr>
    </w:lvl>
    <w:lvl w:ilvl="7" w:tplc="40090019">
      <w:start w:val="1"/>
      <w:numFmt w:val="lowerLetter"/>
      <w:lvlText w:val="%8."/>
      <w:lvlJc w:val="left"/>
      <w:pPr>
        <w:ind w:left="6611" w:hanging="360"/>
      </w:pPr>
    </w:lvl>
    <w:lvl w:ilvl="8" w:tplc="4009001B">
      <w:start w:val="1"/>
      <w:numFmt w:val="lowerRoman"/>
      <w:lvlText w:val="%9."/>
      <w:lvlJc w:val="right"/>
      <w:pPr>
        <w:ind w:left="7331" w:hanging="180"/>
      </w:pPr>
    </w:lvl>
  </w:abstractNum>
  <w:abstractNum w:abstractNumId="4" w15:restartNumberingAfterBreak="0">
    <w:nsid w:val="117F6F63"/>
    <w:multiLevelType w:val="hybridMultilevel"/>
    <w:tmpl w:val="D3B8BD78"/>
    <w:lvl w:ilvl="0" w:tplc="1A7A3106">
      <w:start w:val="5"/>
      <w:numFmt w:val="lowerRoman"/>
      <w:lvlText w:val="(%1)"/>
      <w:lvlJc w:val="right"/>
      <w:pPr>
        <w:ind w:left="720" w:hanging="360"/>
      </w:pPr>
    </w:lvl>
    <w:lvl w:ilvl="1" w:tplc="04090019">
      <w:start w:val="1"/>
      <w:numFmt w:val="lowerLetter"/>
      <w:lvlText w:val="%2."/>
      <w:lvlJc w:val="left"/>
      <w:pPr>
        <w:ind w:left="1440" w:hanging="360"/>
      </w:pPr>
    </w:lvl>
    <w:lvl w:ilvl="2" w:tplc="68CA76C0">
      <w:start w:val="1"/>
      <w:numFmt w:val="lowerLetter"/>
      <w:lvlText w:val="(%3)"/>
      <w:lvlJc w:val="left"/>
      <w:pPr>
        <w:ind w:left="2160" w:hanging="180"/>
      </w:pPr>
      <w:rPr>
        <w:b w:val="0"/>
        <w:i/>
      </w:rPr>
    </w:lvl>
    <w:lvl w:ilvl="3" w:tplc="DD94307A">
      <w:start w:val="1"/>
      <w:numFmt w:val="lowerRoman"/>
      <w:lvlText w:val="(%4)"/>
      <w:lvlJc w:val="left"/>
      <w:pPr>
        <w:ind w:left="2880" w:hanging="360"/>
      </w:pPr>
      <w:rPr>
        <w:b w:val="0"/>
        <w:i/>
        <w:color w:val="auto"/>
      </w:rPr>
    </w:lvl>
    <w:lvl w:ilvl="4" w:tplc="C360DCE4">
      <w:start w:val="1"/>
      <w:numFmt w:val="decimal"/>
      <w:lvlText w:val="%5)"/>
      <w:lvlJc w:val="left"/>
      <w:pPr>
        <w:ind w:left="3600" w:hanging="360"/>
      </w:pPr>
    </w:lvl>
    <w:lvl w:ilvl="5" w:tplc="BF0A88FA">
      <w:start w:val="1"/>
      <w:numFmt w:val="lowerLetter"/>
      <w:lvlText w:val="%6)"/>
      <w:lvlJc w:val="left"/>
      <w:pPr>
        <w:ind w:left="4500" w:hanging="360"/>
      </w:pPr>
    </w:lvl>
    <w:lvl w:ilvl="6" w:tplc="314EC56C">
      <w:start w:val="2"/>
      <w:numFmt w:val="bullet"/>
      <w:lvlText w:val="-"/>
      <w:lvlJc w:val="left"/>
      <w:pPr>
        <w:ind w:left="5040" w:hanging="360"/>
      </w:pPr>
      <w:rPr>
        <w:rFonts w:ascii="Century Gothic" w:eastAsia="Times New Roman" w:hAnsi="Century Gothic" w:cs="Arial" w:hint="default"/>
      </w:r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13C34725"/>
    <w:multiLevelType w:val="hybridMultilevel"/>
    <w:tmpl w:val="0C9C3C0A"/>
    <w:lvl w:ilvl="0" w:tplc="6722E3DC">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6AC747F"/>
    <w:multiLevelType w:val="hybridMultilevel"/>
    <w:tmpl w:val="45B48FB4"/>
    <w:lvl w:ilvl="0" w:tplc="E44E4B3A">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A5F595C"/>
    <w:multiLevelType w:val="hybridMultilevel"/>
    <w:tmpl w:val="34142ECE"/>
    <w:lvl w:ilvl="0" w:tplc="ECDE9438">
      <w:start w:val="1"/>
      <w:numFmt w:val="lowerLetter"/>
      <w:lvlText w:val="(%1)"/>
      <w:lvlJc w:val="left"/>
      <w:pPr>
        <w:ind w:left="1429" w:hanging="360"/>
      </w:pPr>
      <w:rPr>
        <w:b w:val="0"/>
        <w:i w:val="0"/>
        <w:iCs/>
      </w:rPr>
    </w:lvl>
    <w:lvl w:ilvl="1" w:tplc="40090019">
      <w:start w:val="1"/>
      <w:numFmt w:val="lowerLetter"/>
      <w:lvlText w:val="%2."/>
      <w:lvlJc w:val="left"/>
      <w:pPr>
        <w:ind w:left="2149" w:hanging="360"/>
      </w:pPr>
    </w:lvl>
    <w:lvl w:ilvl="2" w:tplc="4009001B">
      <w:start w:val="1"/>
      <w:numFmt w:val="lowerRoman"/>
      <w:lvlText w:val="%3."/>
      <w:lvlJc w:val="right"/>
      <w:pPr>
        <w:ind w:left="2869" w:hanging="180"/>
      </w:pPr>
    </w:lvl>
    <w:lvl w:ilvl="3" w:tplc="4009000F">
      <w:start w:val="1"/>
      <w:numFmt w:val="decimal"/>
      <w:lvlText w:val="%4."/>
      <w:lvlJc w:val="left"/>
      <w:pPr>
        <w:ind w:left="3589" w:hanging="360"/>
      </w:pPr>
    </w:lvl>
    <w:lvl w:ilvl="4" w:tplc="40090019">
      <w:start w:val="1"/>
      <w:numFmt w:val="lowerLetter"/>
      <w:lvlText w:val="%5."/>
      <w:lvlJc w:val="left"/>
      <w:pPr>
        <w:ind w:left="4309" w:hanging="360"/>
      </w:pPr>
    </w:lvl>
    <w:lvl w:ilvl="5" w:tplc="4009001B">
      <w:start w:val="1"/>
      <w:numFmt w:val="lowerRoman"/>
      <w:lvlText w:val="%6."/>
      <w:lvlJc w:val="right"/>
      <w:pPr>
        <w:ind w:left="5029" w:hanging="180"/>
      </w:pPr>
    </w:lvl>
    <w:lvl w:ilvl="6" w:tplc="4009000F">
      <w:start w:val="1"/>
      <w:numFmt w:val="decimal"/>
      <w:lvlText w:val="%7."/>
      <w:lvlJc w:val="left"/>
      <w:pPr>
        <w:ind w:left="5749" w:hanging="360"/>
      </w:pPr>
    </w:lvl>
    <w:lvl w:ilvl="7" w:tplc="40090019">
      <w:start w:val="1"/>
      <w:numFmt w:val="lowerLetter"/>
      <w:lvlText w:val="%8."/>
      <w:lvlJc w:val="left"/>
      <w:pPr>
        <w:ind w:left="6469" w:hanging="360"/>
      </w:pPr>
    </w:lvl>
    <w:lvl w:ilvl="8" w:tplc="4009001B">
      <w:start w:val="1"/>
      <w:numFmt w:val="lowerRoman"/>
      <w:lvlText w:val="%9."/>
      <w:lvlJc w:val="right"/>
      <w:pPr>
        <w:ind w:left="7189" w:hanging="180"/>
      </w:pPr>
    </w:lvl>
  </w:abstractNum>
  <w:abstractNum w:abstractNumId="8" w15:restartNumberingAfterBreak="0">
    <w:nsid w:val="23813837"/>
    <w:multiLevelType w:val="hybridMultilevel"/>
    <w:tmpl w:val="46E2B642"/>
    <w:lvl w:ilvl="0" w:tplc="7DB2BE10">
      <w:start w:val="2"/>
      <w:numFmt w:val="decimal"/>
      <w:lvlText w:val="(%1)"/>
      <w:lvlJc w:val="left"/>
      <w:pPr>
        <w:ind w:left="360" w:hanging="360"/>
      </w:pPr>
      <w:rPr>
        <w:rFonts w:hint="default"/>
        <w:b w:val="0"/>
        <w:i w:val="0"/>
        <w:iCs/>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2ABB123F"/>
    <w:multiLevelType w:val="hybridMultilevel"/>
    <w:tmpl w:val="7A6C0FD4"/>
    <w:lvl w:ilvl="0" w:tplc="83A01F30">
      <w:start w:val="1"/>
      <w:numFmt w:val="lowerRoman"/>
      <w:lvlText w:val="(%1)"/>
      <w:lvlJc w:val="left"/>
      <w:pPr>
        <w:ind w:left="1571" w:hanging="360"/>
      </w:pPr>
      <w:rPr>
        <w:b w:val="0"/>
        <w:i/>
        <w:color w:val="auto"/>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 w15:restartNumberingAfterBreak="0">
    <w:nsid w:val="39D43997"/>
    <w:multiLevelType w:val="hybridMultilevel"/>
    <w:tmpl w:val="43F464CC"/>
    <w:lvl w:ilvl="0" w:tplc="BC84A200">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1" w15:restartNumberingAfterBreak="0">
    <w:nsid w:val="39EF3438"/>
    <w:multiLevelType w:val="hybridMultilevel"/>
    <w:tmpl w:val="C00ABB28"/>
    <w:lvl w:ilvl="0" w:tplc="9B40841C">
      <w:start w:val="1"/>
      <w:numFmt w:val="decimal"/>
      <w:lvlText w:val="(%1)"/>
      <w:lvlJc w:val="left"/>
      <w:pPr>
        <w:ind w:left="1080" w:hanging="360"/>
      </w:pPr>
      <w:rPr>
        <w:b w:val="0"/>
        <w:i w:val="0"/>
        <w:iCs/>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2" w15:restartNumberingAfterBreak="0">
    <w:nsid w:val="3C251DBF"/>
    <w:multiLevelType w:val="hybridMultilevel"/>
    <w:tmpl w:val="B0541CD2"/>
    <w:lvl w:ilvl="0" w:tplc="20689C52">
      <w:start w:val="1"/>
      <w:numFmt w:val="decimal"/>
      <w:lvlText w:val="%1."/>
      <w:lvlJc w:val="left"/>
      <w:pPr>
        <w:ind w:left="720" w:hanging="360"/>
      </w:pPr>
      <w:rPr>
        <w:b/>
        <w:bCs w:val="0"/>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3" w15:restartNumberingAfterBreak="0">
    <w:nsid w:val="4B1D6B31"/>
    <w:multiLevelType w:val="hybridMultilevel"/>
    <w:tmpl w:val="581469DA"/>
    <w:lvl w:ilvl="0" w:tplc="45DC8DD2">
      <w:start w:val="1"/>
      <w:numFmt w:val="decimal"/>
      <w:lvlText w:val="(%1)"/>
      <w:lvlJc w:val="left"/>
      <w:pPr>
        <w:ind w:left="720" w:hanging="360"/>
      </w:pPr>
      <w:rPr>
        <w:b w:val="0"/>
        <w:i w:val="0"/>
        <w:i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4F9D7FE2"/>
    <w:multiLevelType w:val="hybridMultilevel"/>
    <w:tmpl w:val="2ADCA0FC"/>
    <w:lvl w:ilvl="0" w:tplc="77BE31BC">
      <w:start w:val="1"/>
      <w:numFmt w:val="decimal"/>
      <w:lvlText w:val="(%1)"/>
      <w:lvlJc w:val="left"/>
      <w:pPr>
        <w:ind w:left="360" w:hanging="360"/>
      </w:pPr>
      <w:rPr>
        <w:b w:val="0"/>
        <w:i w:val="0"/>
        <w:iCs/>
      </w:rPr>
    </w:lvl>
    <w:lvl w:ilvl="1" w:tplc="40090019">
      <w:start w:val="1"/>
      <w:numFmt w:val="lowerLetter"/>
      <w:lvlText w:val="%2."/>
      <w:lvlJc w:val="left"/>
      <w:pPr>
        <w:ind w:left="1866" w:hanging="360"/>
      </w:pPr>
    </w:lvl>
    <w:lvl w:ilvl="2" w:tplc="4009001B">
      <w:start w:val="1"/>
      <w:numFmt w:val="lowerRoman"/>
      <w:lvlText w:val="%3."/>
      <w:lvlJc w:val="right"/>
      <w:pPr>
        <w:ind w:left="2586" w:hanging="180"/>
      </w:pPr>
    </w:lvl>
    <w:lvl w:ilvl="3" w:tplc="4009000F">
      <w:start w:val="1"/>
      <w:numFmt w:val="decimal"/>
      <w:lvlText w:val="%4."/>
      <w:lvlJc w:val="left"/>
      <w:pPr>
        <w:ind w:left="3306" w:hanging="360"/>
      </w:pPr>
    </w:lvl>
    <w:lvl w:ilvl="4" w:tplc="40090019">
      <w:start w:val="1"/>
      <w:numFmt w:val="lowerLetter"/>
      <w:lvlText w:val="%5."/>
      <w:lvlJc w:val="left"/>
      <w:pPr>
        <w:ind w:left="4026" w:hanging="360"/>
      </w:pPr>
    </w:lvl>
    <w:lvl w:ilvl="5" w:tplc="4009001B">
      <w:start w:val="1"/>
      <w:numFmt w:val="lowerRoman"/>
      <w:lvlText w:val="%6."/>
      <w:lvlJc w:val="right"/>
      <w:pPr>
        <w:ind w:left="4746" w:hanging="180"/>
      </w:pPr>
    </w:lvl>
    <w:lvl w:ilvl="6" w:tplc="4009000F">
      <w:start w:val="1"/>
      <w:numFmt w:val="decimal"/>
      <w:lvlText w:val="%7."/>
      <w:lvlJc w:val="left"/>
      <w:pPr>
        <w:ind w:left="5466" w:hanging="360"/>
      </w:pPr>
    </w:lvl>
    <w:lvl w:ilvl="7" w:tplc="40090019">
      <w:start w:val="1"/>
      <w:numFmt w:val="lowerLetter"/>
      <w:lvlText w:val="%8."/>
      <w:lvlJc w:val="left"/>
      <w:pPr>
        <w:ind w:left="6186" w:hanging="360"/>
      </w:pPr>
    </w:lvl>
    <w:lvl w:ilvl="8" w:tplc="4009001B">
      <w:start w:val="1"/>
      <w:numFmt w:val="lowerRoman"/>
      <w:lvlText w:val="%9."/>
      <w:lvlJc w:val="right"/>
      <w:pPr>
        <w:ind w:left="6906" w:hanging="180"/>
      </w:pPr>
    </w:lvl>
  </w:abstractNum>
  <w:abstractNum w:abstractNumId="15" w15:restartNumberingAfterBreak="0">
    <w:nsid w:val="50330AF5"/>
    <w:multiLevelType w:val="hybridMultilevel"/>
    <w:tmpl w:val="095097CA"/>
    <w:lvl w:ilvl="0" w:tplc="870A08F6">
      <w:start w:val="1"/>
      <w:numFmt w:val="decimal"/>
      <w:lvlText w:val="(%1)"/>
      <w:lvlJc w:val="left"/>
      <w:pPr>
        <w:ind w:left="720" w:hanging="360"/>
      </w:pPr>
      <w:rPr>
        <w:b w:val="0"/>
        <w:i w:val="0"/>
        <w:i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57F65276"/>
    <w:multiLevelType w:val="hybridMultilevel"/>
    <w:tmpl w:val="7CBA62DC"/>
    <w:lvl w:ilvl="0" w:tplc="FAD8B468">
      <w:start w:val="1"/>
      <w:numFmt w:val="lowerRoman"/>
      <w:lvlText w:val="(%1)"/>
      <w:lvlJc w:val="left"/>
      <w:pPr>
        <w:ind w:left="1429" w:hanging="360"/>
      </w:pPr>
      <w:rPr>
        <w:b w:val="0"/>
        <w:i/>
        <w:color w:val="auto"/>
      </w:rPr>
    </w:lvl>
    <w:lvl w:ilvl="1" w:tplc="40090019">
      <w:start w:val="1"/>
      <w:numFmt w:val="lowerLetter"/>
      <w:lvlText w:val="%2."/>
      <w:lvlJc w:val="left"/>
      <w:pPr>
        <w:ind w:left="2149" w:hanging="360"/>
      </w:pPr>
    </w:lvl>
    <w:lvl w:ilvl="2" w:tplc="4009001B">
      <w:start w:val="1"/>
      <w:numFmt w:val="lowerRoman"/>
      <w:lvlText w:val="%3."/>
      <w:lvlJc w:val="right"/>
      <w:pPr>
        <w:ind w:left="2869" w:hanging="180"/>
      </w:pPr>
    </w:lvl>
    <w:lvl w:ilvl="3" w:tplc="4009000F">
      <w:start w:val="1"/>
      <w:numFmt w:val="decimal"/>
      <w:lvlText w:val="%4."/>
      <w:lvlJc w:val="left"/>
      <w:pPr>
        <w:ind w:left="3589" w:hanging="360"/>
      </w:pPr>
    </w:lvl>
    <w:lvl w:ilvl="4" w:tplc="40090019">
      <w:start w:val="1"/>
      <w:numFmt w:val="lowerLetter"/>
      <w:lvlText w:val="%5."/>
      <w:lvlJc w:val="left"/>
      <w:pPr>
        <w:ind w:left="4309" w:hanging="360"/>
      </w:pPr>
    </w:lvl>
    <w:lvl w:ilvl="5" w:tplc="4009001B">
      <w:start w:val="1"/>
      <w:numFmt w:val="lowerRoman"/>
      <w:lvlText w:val="%6."/>
      <w:lvlJc w:val="right"/>
      <w:pPr>
        <w:ind w:left="5029" w:hanging="180"/>
      </w:pPr>
    </w:lvl>
    <w:lvl w:ilvl="6" w:tplc="4009000F">
      <w:start w:val="1"/>
      <w:numFmt w:val="decimal"/>
      <w:lvlText w:val="%7."/>
      <w:lvlJc w:val="left"/>
      <w:pPr>
        <w:ind w:left="5749" w:hanging="360"/>
      </w:pPr>
    </w:lvl>
    <w:lvl w:ilvl="7" w:tplc="40090019">
      <w:start w:val="1"/>
      <w:numFmt w:val="lowerLetter"/>
      <w:lvlText w:val="%8."/>
      <w:lvlJc w:val="left"/>
      <w:pPr>
        <w:ind w:left="6469" w:hanging="360"/>
      </w:pPr>
    </w:lvl>
    <w:lvl w:ilvl="8" w:tplc="4009001B">
      <w:start w:val="1"/>
      <w:numFmt w:val="lowerRoman"/>
      <w:lvlText w:val="%9."/>
      <w:lvlJc w:val="right"/>
      <w:pPr>
        <w:ind w:left="7189" w:hanging="180"/>
      </w:pPr>
    </w:lvl>
  </w:abstractNum>
  <w:abstractNum w:abstractNumId="17" w15:restartNumberingAfterBreak="0">
    <w:nsid w:val="58B904E2"/>
    <w:multiLevelType w:val="multilevel"/>
    <w:tmpl w:val="92BCCD1C"/>
    <w:lvl w:ilvl="0">
      <w:start w:val="2"/>
      <w:numFmt w:val="decimal"/>
      <w:lvlText w:val="%1."/>
      <w:lvlJc w:val="left"/>
      <w:pPr>
        <w:ind w:left="360" w:hanging="360"/>
      </w:pPr>
      <w:rPr>
        <w:b/>
        <w:i w:val="0"/>
      </w:rPr>
    </w:lvl>
    <w:lvl w:ilvl="1">
      <w:start w:val="1"/>
      <w:numFmt w:val="decimal"/>
      <w:lvlText w:val="%1.%2"/>
      <w:lvlJc w:val="left"/>
      <w:pPr>
        <w:ind w:left="792" w:hanging="432"/>
      </w:pPr>
      <w:rPr>
        <w:b w:val="0"/>
        <w:i w:val="0"/>
      </w:rPr>
    </w:lvl>
    <w:lvl w:ilvl="2">
      <w:start w:val="1"/>
      <w:numFmt w:val="decimal"/>
      <w:lvlText w:val="%1.%2.%3"/>
      <w:lvlJc w:val="left"/>
      <w:pPr>
        <w:ind w:left="1224" w:hanging="504"/>
      </w:pPr>
      <w:rPr>
        <w:strike w:val="0"/>
        <w:dstrike w:val="0"/>
        <w:color w:val="000000"/>
        <w:u w:val="none"/>
        <w:effect w:val="no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4845B18"/>
    <w:multiLevelType w:val="hybridMultilevel"/>
    <w:tmpl w:val="FBFEC9F2"/>
    <w:lvl w:ilvl="0" w:tplc="5E00B95E">
      <w:start w:val="1"/>
      <w:numFmt w:val="decimal"/>
      <w:lvlText w:val="(%1)"/>
      <w:lvlJc w:val="left"/>
      <w:pPr>
        <w:ind w:left="360" w:hanging="360"/>
      </w:pPr>
      <w:rPr>
        <w:b w:val="0"/>
        <w:i/>
      </w:rPr>
    </w:lvl>
    <w:lvl w:ilvl="1" w:tplc="40090019">
      <w:start w:val="1"/>
      <w:numFmt w:val="lowerLetter"/>
      <w:lvlText w:val="%2."/>
      <w:lvlJc w:val="left"/>
      <w:pPr>
        <w:ind w:left="1080" w:hanging="360"/>
      </w:pPr>
    </w:lvl>
    <w:lvl w:ilvl="2" w:tplc="4009001B">
      <w:start w:val="1"/>
      <w:numFmt w:val="lowerRoman"/>
      <w:lvlText w:val="%3."/>
      <w:lvlJc w:val="right"/>
      <w:pPr>
        <w:ind w:left="1800" w:hanging="180"/>
      </w:pPr>
    </w:lvl>
    <w:lvl w:ilvl="3" w:tplc="4009000F">
      <w:start w:val="1"/>
      <w:numFmt w:val="decimal"/>
      <w:lvlText w:val="%4."/>
      <w:lvlJc w:val="left"/>
      <w:pPr>
        <w:ind w:left="2520" w:hanging="360"/>
      </w:pPr>
    </w:lvl>
    <w:lvl w:ilvl="4" w:tplc="40090019">
      <w:start w:val="1"/>
      <w:numFmt w:val="lowerLetter"/>
      <w:lvlText w:val="%5."/>
      <w:lvlJc w:val="left"/>
      <w:pPr>
        <w:ind w:left="3240" w:hanging="360"/>
      </w:pPr>
    </w:lvl>
    <w:lvl w:ilvl="5" w:tplc="4009001B">
      <w:start w:val="1"/>
      <w:numFmt w:val="lowerRoman"/>
      <w:lvlText w:val="%6."/>
      <w:lvlJc w:val="right"/>
      <w:pPr>
        <w:ind w:left="3960" w:hanging="180"/>
      </w:pPr>
    </w:lvl>
    <w:lvl w:ilvl="6" w:tplc="4009000F">
      <w:start w:val="1"/>
      <w:numFmt w:val="decimal"/>
      <w:lvlText w:val="%7."/>
      <w:lvlJc w:val="left"/>
      <w:pPr>
        <w:ind w:left="4680" w:hanging="360"/>
      </w:pPr>
    </w:lvl>
    <w:lvl w:ilvl="7" w:tplc="40090019">
      <w:start w:val="1"/>
      <w:numFmt w:val="lowerLetter"/>
      <w:lvlText w:val="%8."/>
      <w:lvlJc w:val="left"/>
      <w:pPr>
        <w:ind w:left="5400" w:hanging="360"/>
      </w:pPr>
    </w:lvl>
    <w:lvl w:ilvl="8" w:tplc="4009001B">
      <w:start w:val="1"/>
      <w:numFmt w:val="lowerRoman"/>
      <w:lvlText w:val="%9."/>
      <w:lvlJc w:val="right"/>
      <w:pPr>
        <w:ind w:left="6120" w:hanging="180"/>
      </w:pPr>
    </w:lvl>
  </w:abstractNum>
  <w:abstractNum w:abstractNumId="19" w15:restartNumberingAfterBreak="0">
    <w:nsid w:val="6CC92173"/>
    <w:multiLevelType w:val="hybridMultilevel"/>
    <w:tmpl w:val="D996EA3C"/>
    <w:lvl w:ilvl="0" w:tplc="BE96F5F8">
      <w:start w:val="1"/>
      <w:numFmt w:val="decimal"/>
      <w:lvlText w:val="(%1)"/>
      <w:lvlJc w:val="left"/>
      <w:pPr>
        <w:ind w:left="720" w:hanging="360"/>
      </w:pPr>
      <w:rPr>
        <w:b w:val="0"/>
        <w: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76B00AB8"/>
    <w:multiLevelType w:val="hybridMultilevel"/>
    <w:tmpl w:val="BCB0450A"/>
    <w:lvl w:ilvl="0" w:tplc="BC84A200">
      <w:start w:val="1"/>
      <w:numFmt w:val="lowerLetter"/>
      <w:lvlText w:val="(%1)"/>
      <w:lvlJc w:val="left"/>
      <w:pPr>
        <w:ind w:left="720" w:hanging="360"/>
      </w:pPr>
    </w:lvl>
    <w:lvl w:ilvl="1" w:tplc="02CEF15E">
      <w:start w:val="1"/>
      <w:numFmt w:val="lowerLetter"/>
      <w:lvlText w:val="(%2)"/>
      <w:lvlJc w:val="left"/>
      <w:pPr>
        <w:ind w:left="1440" w:hanging="360"/>
      </w:pPr>
    </w:lvl>
    <w:lvl w:ilvl="2" w:tplc="0409001B">
      <w:start w:val="1"/>
      <w:numFmt w:val="lowerRoman"/>
      <w:lvlText w:val="%3."/>
      <w:lvlJc w:val="right"/>
      <w:pPr>
        <w:ind w:left="2160" w:hanging="180"/>
      </w:pPr>
    </w:lvl>
    <w:lvl w:ilvl="3" w:tplc="BC84A200">
      <w:start w:val="1"/>
      <w:numFmt w:val="lowerLetter"/>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772938D5"/>
    <w:multiLevelType w:val="hybridMultilevel"/>
    <w:tmpl w:val="0166290A"/>
    <w:lvl w:ilvl="0" w:tplc="04CED14C">
      <w:start w:val="1"/>
      <w:numFmt w:val="lowerRoman"/>
      <w:lvlText w:val="(%1)"/>
      <w:lvlJc w:val="left"/>
      <w:pPr>
        <w:ind w:left="360" w:hanging="360"/>
      </w:pPr>
      <w:rPr>
        <w:b w:val="0"/>
        <w:i/>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7851056F"/>
    <w:multiLevelType w:val="hybridMultilevel"/>
    <w:tmpl w:val="B5DAFF2C"/>
    <w:lvl w:ilvl="0" w:tplc="E89C3848">
      <w:start w:val="1"/>
      <w:numFmt w:val="lowerLetter"/>
      <w:lvlText w:val="(%1)"/>
      <w:lvlJc w:val="left"/>
      <w:pPr>
        <w:ind w:left="1429" w:hanging="360"/>
      </w:pPr>
      <w:rPr>
        <w:b w:val="0"/>
        <w:i w:val="0"/>
        <w:iCs/>
      </w:rPr>
    </w:lvl>
    <w:lvl w:ilvl="1" w:tplc="40090019">
      <w:start w:val="1"/>
      <w:numFmt w:val="lowerLetter"/>
      <w:lvlText w:val="%2."/>
      <w:lvlJc w:val="left"/>
      <w:pPr>
        <w:ind w:left="2149" w:hanging="360"/>
      </w:pPr>
    </w:lvl>
    <w:lvl w:ilvl="2" w:tplc="4009001B">
      <w:start w:val="1"/>
      <w:numFmt w:val="lowerRoman"/>
      <w:lvlText w:val="%3."/>
      <w:lvlJc w:val="right"/>
      <w:pPr>
        <w:ind w:left="2869" w:hanging="180"/>
      </w:pPr>
    </w:lvl>
    <w:lvl w:ilvl="3" w:tplc="4009000F">
      <w:start w:val="1"/>
      <w:numFmt w:val="decimal"/>
      <w:lvlText w:val="%4."/>
      <w:lvlJc w:val="left"/>
      <w:pPr>
        <w:ind w:left="3589" w:hanging="360"/>
      </w:pPr>
    </w:lvl>
    <w:lvl w:ilvl="4" w:tplc="40090019">
      <w:start w:val="1"/>
      <w:numFmt w:val="lowerLetter"/>
      <w:lvlText w:val="%5."/>
      <w:lvlJc w:val="left"/>
      <w:pPr>
        <w:ind w:left="4309" w:hanging="360"/>
      </w:pPr>
    </w:lvl>
    <w:lvl w:ilvl="5" w:tplc="4009001B">
      <w:start w:val="1"/>
      <w:numFmt w:val="lowerRoman"/>
      <w:lvlText w:val="%6."/>
      <w:lvlJc w:val="right"/>
      <w:pPr>
        <w:ind w:left="5029" w:hanging="180"/>
      </w:pPr>
    </w:lvl>
    <w:lvl w:ilvl="6" w:tplc="4009000F">
      <w:start w:val="1"/>
      <w:numFmt w:val="decimal"/>
      <w:lvlText w:val="%7."/>
      <w:lvlJc w:val="left"/>
      <w:pPr>
        <w:ind w:left="5749" w:hanging="360"/>
      </w:pPr>
    </w:lvl>
    <w:lvl w:ilvl="7" w:tplc="40090019">
      <w:start w:val="1"/>
      <w:numFmt w:val="lowerLetter"/>
      <w:lvlText w:val="%8."/>
      <w:lvlJc w:val="left"/>
      <w:pPr>
        <w:ind w:left="6469" w:hanging="360"/>
      </w:pPr>
    </w:lvl>
    <w:lvl w:ilvl="8" w:tplc="4009001B">
      <w:start w:val="1"/>
      <w:numFmt w:val="lowerRoman"/>
      <w:lvlText w:val="%9."/>
      <w:lvlJc w:val="right"/>
      <w:pPr>
        <w:ind w:left="7189" w:hanging="180"/>
      </w:pPr>
    </w:lvl>
  </w:abstractNum>
  <w:abstractNum w:abstractNumId="23" w15:restartNumberingAfterBreak="0">
    <w:nsid w:val="79022445"/>
    <w:multiLevelType w:val="hybridMultilevel"/>
    <w:tmpl w:val="056EB006"/>
    <w:lvl w:ilvl="0" w:tplc="1A7A3106">
      <w:start w:val="5"/>
      <w:numFmt w:val="lowerRoman"/>
      <w:lvlText w:val="(%1)"/>
      <w:lvlJc w:val="right"/>
      <w:pPr>
        <w:ind w:left="720" w:hanging="360"/>
      </w:pPr>
    </w:lvl>
    <w:lvl w:ilvl="1" w:tplc="04090019">
      <w:start w:val="1"/>
      <w:numFmt w:val="lowerLetter"/>
      <w:lvlText w:val="%2."/>
      <w:lvlJc w:val="left"/>
      <w:pPr>
        <w:ind w:left="1440" w:hanging="360"/>
      </w:pPr>
    </w:lvl>
    <w:lvl w:ilvl="2" w:tplc="861EB12C">
      <w:start w:val="1"/>
      <w:numFmt w:val="lowerLetter"/>
      <w:lvlText w:val="(%3)"/>
      <w:lvlJc w:val="left"/>
      <w:pPr>
        <w:ind w:left="2160" w:hanging="180"/>
      </w:pPr>
      <w:rPr>
        <w:b w:val="0"/>
        <w:i w:val="0"/>
        <w:iCs/>
      </w:rPr>
    </w:lvl>
    <w:lvl w:ilvl="3" w:tplc="83A01F30">
      <w:start w:val="1"/>
      <w:numFmt w:val="lowerRoman"/>
      <w:lvlText w:val="(%4)"/>
      <w:lvlJc w:val="left"/>
      <w:pPr>
        <w:ind w:left="2880" w:hanging="360"/>
      </w:pPr>
      <w:rPr>
        <w:b w:val="0"/>
        <w:i/>
        <w:color w:val="auto"/>
      </w:rPr>
    </w:lvl>
    <w:lvl w:ilvl="4" w:tplc="C360DCE4">
      <w:start w:val="1"/>
      <w:numFmt w:val="decimal"/>
      <w:lvlText w:val="%5)"/>
      <w:lvlJc w:val="left"/>
      <w:pPr>
        <w:ind w:left="3600" w:hanging="360"/>
      </w:pPr>
    </w:lvl>
    <w:lvl w:ilvl="5" w:tplc="BF0A88FA">
      <w:start w:val="1"/>
      <w:numFmt w:val="lowerLetter"/>
      <w:lvlText w:val="%6)"/>
      <w:lvlJc w:val="left"/>
      <w:pPr>
        <w:ind w:left="4500" w:hanging="360"/>
      </w:pPr>
    </w:lvl>
    <w:lvl w:ilvl="6" w:tplc="314EC56C">
      <w:start w:val="2"/>
      <w:numFmt w:val="bullet"/>
      <w:lvlText w:val="-"/>
      <w:lvlJc w:val="left"/>
      <w:pPr>
        <w:ind w:left="5040" w:hanging="360"/>
      </w:pPr>
      <w:rPr>
        <w:rFonts w:ascii="Century Gothic" w:eastAsia="Times New Roman" w:hAnsi="Century Gothic" w:cs="Arial" w:hint="default"/>
      </w:r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num>
  <w:num w:numId="25">
    <w:abstractNumId w:val="3"/>
  </w:num>
  <w:num w:numId="26">
    <w:abstractNumId w:val="8"/>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397C"/>
    <w:rsid w:val="000C4BB3"/>
    <w:rsid w:val="0015386A"/>
    <w:rsid w:val="001A397C"/>
    <w:rsid w:val="001A4165"/>
    <w:rsid w:val="002004BC"/>
    <w:rsid w:val="002C1438"/>
    <w:rsid w:val="002F034F"/>
    <w:rsid w:val="002F7073"/>
    <w:rsid w:val="004361C5"/>
    <w:rsid w:val="00487865"/>
    <w:rsid w:val="005A134C"/>
    <w:rsid w:val="006E3007"/>
    <w:rsid w:val="0074361D"/>
    <w:rsid w:val="0078527B"/>
    <w:rsid w:val="007B29CA"/>
    <w:rsid w:val="007B5A80"/>
    <w:rsid w:val="00885A78"/>
    <w:rsid w:val="009D4710"/>
    <w:rsid w:val="00A93D83"/>
    <w:rsid w:val="00AB0B55"/>
    <w:rsid w:val="00B038D1"/>
    <w:rsid w:val="00B04124"/>
    <w:rsid w:val="00BD1BB8"/>
    <w:rsid w:val="00C24859"/>
    <w:rsid w:val="00C413C9"/>
    <w:rsid w:val="00CA7E5D"/>
    <w:rsid w:val="00CD25E6"/>
    <w:rsid w:val="00D37203"/>
    <w:rsid w:val="00D57EC4"/>
    <w:rsid w:val="00DD7CED"/>
    <w:rsid w:val="00DF1EA3"/>
    <w:rsid w:val="00DF29EB"/>
    <w:rsid w:val="00DF4566"/>
    <w:rsid w:val="00E70443"/>
    <w:rsid w:val="00EA4471"/>
    <w:rsid w:val="00F25315"/>
    <w:rsid w:val="00F861E2"/>
    <w:rsid w:val="00F93A3C"/>
    <w:rsid w:val="00FC2EFA"/>
    <w:rsid w:val="00FD5698"/>
    <w:rsid w:val="00FE50B4"/>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A5DBD3"/>
  <w15:chartTrackingRefBased/>
  <w15:docId w15:val="{00BEFAC0-AF45-473D-AE26-1D2D07EE6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4471"/>
    <w:pPr>
      <w:spacing w:after="0" w:line="240" w:lineRule="auto"/>
    </w:pPr>
    <w:rPr>
      <w:rFonts w:ascii="Times New Roman" w:eastAsia="Times New Roman" w:hAnsi="Times New Roman" w:cs="Times New Roman"/>
      <w:sz w:val="24"/>
      <w:szCs w:val="24"/>
      <w:lang w:val="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rsid w:val="00EA4471"/>
    <w:pPr>
      <w:spacing w:after="120"/>
    </w:pPr>
  </w:style>
  <w:style w:type="character" w:customStyle="1" w:styleId="BodyTextChar">
    <w:name w:val="Body Text Char"/>
    <w:basedOn w:val="DefaultParagraphFont"/>
    <w:link w:val="BodyText"/>
    <w:uiPriority w:val="99"/>
    <w:semiHidden/>
    <w:rsid w:val="00EA4471"/>
    <w:rPr>
      <w:rFonts w:ascii="Times New Roman" w:eastAsia="Times New Roman" w:hAnsi="Times New Roman" w:cs="Times New Roman"/>
      <w:sz w:val="24"/>
      <w:szCs w:val="24"/>
      <w:lang w:val="en-US" w:bidi="ar-SA"/>
    </w:rPr>
  </w:style>
  <w:style w:type="paragraph" w:styleId="BodyTextIndent3">
    <w:name w:val="Body Text Indent 3"/>
    <w:basedOn w:val="Normal"/>
    <w:link w:val="BodyTextIndent3Char"/>
    <w:unhideWhenUsed/>
    <w:rsid w:val="00EA4471"/>
    <w:pPr>
      <w:spacing w:line="360" w:lineRule="auto"/>
      <w:ind w:left="720" w:hanging="720"/>
      <w:jc w:val="both"/>
    </w:pPr>
  </w:style>
  <w:style w:type="character" w:customStyle="1" w:styleId="BodyTextIndent3Char">
    <w:name w:val="Body Text Indent 3 Char"/>
    <w:basedOn w:val="DefaultParagraphFont"/>
    <w:link w:val="BodyTextIndent3"/>
    <w:rsid w:val="00EA4471"/>
    <w:rPr>
      <w:rFonts w:ascii="Times New Roman" w:eastAsia="Times New Roman" w:hAnsi="Times New Roman" w:cs="Times New Roman"/>
      <w:sz w:val="24"/>
      <w:szCs w:val="24"/>
      <w:lang w:val="en-US" w:bidi="ar-SA"/>
    </w:rPr>
  </w:style>
  <w:style w:type="paragraph" w:styleId="ListParagraph">
    <w:name w:val="List Paragraph"/>
    <w:basedOn w:val="Normal"/>
    <w:uiPriority w:val="34"/>
    <w:qFormat/>
    <w:rsid w:val="00EA4471"/>
    <w:pPr>
      <w:ind w:left="720"/>
    </w:pPr>
  </w:style>
  <w:style w:type="table" w:styleId="TableGrid">
    <w:name w:val="Table Grid"/>
    <w:basedOn w:val="TableNormal"/>
    <w:uiPriority w:val="59"/>
    <w:rsid w:val="00EA4471"/>
    <w:pPr>
      <w:spacing w:after="0" w:line="240" w:lineRule="auto"/>
    </w:pPr>
    <w:rPr>
      <w:rFonts w:ascii="Calibri" w:eastAsia="Calibri" w:hAnsi="Calibri" w:cs="Calibri"/>
      <w:sz w:val="20"/>
      <w:lang w:eastAsia="en-I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EA4471"/>
    <w:pPr>
      <w:tabs>
        <w:tab w:val="center" w:pos="4513"/>
        <w:tab w:val="right" w:pos="9026"/>
      </w:tabs>
    </w:pPr>
  </w:style>
  <w:style w:type="character" w:customStyle="1" w:styleId="HeaderChar">
    <w:name w:val="Header Char"/>
    <w:basedOn w:val="DefaultParagraphFont"/>
    <w:link w:val="Header"/>
    <w:uiPriority w:val="99"/>
    <w:rsid w:val="00EA4471"/>
    <w:rPr>
      <w:rFonts w:ascii="Times New Roman" w:eastAsia="Times New Roman" w:hAnsi="Times New Roman" w:cs="Times New Roman"/>
      <w:sz w:val="24"/>
      <w:szCs w:val="24"/>
      <w:lang w:val="en-US" w:bidi="ar-SA"/>
    </w:rPr>
  </w:style>
  <w:style w:type="paragraph" w:styleId="Footer">
    <w:name w:val="footer"/>
    <w:basedOn w:val="Normal"/>
    <w:link w:val="FooterChar"/>
    <w:uiPriority w:val="99"/>
    <w:unhideWhenUsed/>
    <w:rsid w:val="00EA4471"/>
    <w:pPr>
      <w:tabs>
        <w:tab w:val="center" w:pos="4513"/>
        <w:tab w:val="right" w:pos="9026"/>
      </w:tabs>
    </w:pPr>
  </w:style>
  <w:style w:type="character" w:customStyle="1" w:styleId="FooterChar">
    <w:name w:val="Footer Char"/>
    <w:basedOn w:val="DefaultParagraphFont"/>
    <w:link w:val="Footer"/>
    <w:uiPriority w:val="99"/>
    <w:rsid w:val="00EA4471"/>
    <w:rPr>
      <w:rFonts w:ascii="Times New Roman" w:eastAsia="Times New Roman" w:hAnsi="Times New Roman" w:cs="Times New Roman"/>
      <w:sz w:val="24"/>
      <w:szCs w:val="24"/>
      <w:lang w:val="en-US" w:bidi="ar-SA"/>
    </w:rPr>
  </w:style>
  <w:style w:type="paragraph" w:styleId="FootnoteText">
    <w:name w:val="footnote text"/>
    <w:basedOn w:val="Normal"/>
    <w:link w:val="FootnoteTextChar"/>
    <w:uiPriority w:val="99"/>
    <w:semiHidden/>
    <w:unhideWhenUsed/>
    <w:rsid w:val="00EA4471"/>
    <w:rPr>
      <w:sz w:val="20"/>
      <w:szCs w:val="20"/>
    </w:rPr>
  </w:style>
  <w:style w:type="character" w:customStyle="1" w:styleId="FootnoteTextChar">
    <w:name w:val="Footnote Text Char"/>
    <w:basedOn w:val="DefaultParagraphFont"/>
    <w:link w:val="FootnoteText"/>
    <w:uiPriority w:val="99"/>
    <w:semiHidden/>
    <w:rsid w:val="00EA4471"/>
    <w:rPr>
      <w:rFonts w:ascii="Times New Roman" w:eastAsia="Times New Roman" w:hAnsi="Times New Roman" w:cs="Times New Roman"/>
      <w:sz w:val="20"/>
      <w:lang w:val="en-US" w:bidi="ar-SA"/>
    </w:rPr>
  </w:style>
  <w:style w:type="character" w:styleId="FootnoteReference">
    <w:name w:val="footnote reference"/>
    <w:basedOn w:val="DefaultParagraphFont"/>
    <w:uiPriority w:val="99"/>
    <w:semiHidden/>
    <w:unhideWhenUsed/>
    <w:rsid w:val="00EA4471"/>
    <w:rPr>
      <w:vertAlign w:val="superscript"/>
    </w:rPr>
  </w:style>
  <w:style w:type="paragraph" w:styleId="BalloonText">
    <w:name w:val="Balloon Text"/>
    <w:basedOn w:val="Normal"/>
    <w:link w:val="BalloonTextChar"/>
    <w:uiPriority w:val="99"/>
    <w:semiHidden/>
    <w:unhideWhenUsed/>
    <w:rsid w:val="006E300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E3007"/>
    <w:rPr>
      <w:rFonts w:ascii="Segoe UI" w:eastAsia="Times New Roman" w:hAnsi="Segoe UI" w:cs="Segoe UI"/>
      <w:sz w:val="18"/>
      <w:szCs w:val="18"/>
      <w:lang w:val="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3489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UseLongFileName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189</TotalTime>
  <Pages>17</Pages>
  <Words>4894</Words>
  <Characters>27898</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Budhiraja</dc:creator>
  <cp:keywords/>
  <dc:description/>
  <cp:lastModifiedBy>Mohit Budhiraja</cp:lastModifiedBy>
  <cp:revision>27</cp:revision>
  <dcterms:created xsi:type="dcterms:W3CDTF">2019-12-20T09:07:00Z</dcterms:created>
  <dcterms:modified xsi:type="dcterms:W3CDTF">2023-02-28T09:49:00Z</dcterms:modified>
</cp:coreProperties>
</file>